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3D70E" w14:textId="258BDE14" w:rsidR="00EC53BC" w:rsidRPr="005B1D93" w:rsidRDefault="00DF1AA7">
      <w:pPr>
        <w:rPr>
          <w:b/>
          <w:bCs/>
          <w:sz w:val="24"/>
          <w:szCs w:val="24"/>
          <w:lang w:val="en-GB"/>
        </w:rPr>
      </w:pPr>
      <w:r>
        <w:rPr>
          <w:b/>
          <w:bCs/>
          <w:sz w:val="24"/>
          <w:szCs w:val="24"/>
          <w:lang w:val="en-GB"/>
        </w:rPr>
        <w:t>E</w:t>
      </w:r>
      <w:r w:rsidR="00CF7032">
        <w:rPr>
          <w:b/>
          <w:bCs/>
          <w:sz w:val="24"/>
          <w:szCs w:val="24"/>
          <w:lang w:val="en-GB"/>
        </w:rPr>
        <w:t>xperimental Methods in Economics</w:t>
      </w:r>
    </w:p>
    <w:p w14:paraId="290ABBB8" w14:textId="177C75CC" w:rsidR="00EC53BC" w:rsidRPr="00CF7032" w:rsidRDefault="00227079">
      <w:pPr>
        <w:rPr>
          <w:sz w:val="24"/>
          <w:szCs w:val="24"/>
          <w:lang w:val="en-GB"/>
        </w:rPr>
      </w:pPr>
      <w:r w:rsidRPr="00CF7032">
        <w:rPr>
          <w:sz w:val="24"/>
          <w:szCs w:val="24"/>
          <w:lang w:val="en-GB"/>
        </w:rPr>
        <w:t>Marina Cavalieri</w:t>
      </w:r>
      <w:r w:rsidR="001F5567" w:rsidRPr="00CF7032">
        <w:rPr>
          <w:sz w:val="24"/>
          <w:szCs w:val="24"/>
          <w:lang w:val="en-GB"/>
        </w:rPr>
        <w:t xml:space="preserve"> and Domenica Romeo</w:t>
      </w:r>
    </w:p>
    <w:p w14:paraId="3DAE16B1" w14:textId="478DE158" w:rsidR="00A23B87" w:rsidRPr="00CF7032" w:rsidRDefault="00A23B87">
      <w:pPr>
        <w:rPr>
          <w:b/>
          <w:bCs/>
          <w:sz w:val="24"/>
          <w:szCs w:val="24"/>
          <w:lang w:val="en-GB"/>
        </w:rPr>
      </w:pPr>
      <w:r w:rsidRPr="00CF7032">
        <w:rPr>
          <w:b/>
          <w:bCs/>
          <w:sz w:val="24"/>
          <w:szCs w:val="24"/>
          <w:lang w:val="en-GB"/>
        </w:rPr>
        <w:t>Contents</w:t>
      </w:r>
    </w:p>
    <w:p w14:paraId="1A34EB1A" w14:textId="54318F24" w:rsidR="001F5567" w:rsidRPr="001F5567" w:rsidRDefault="001F5567" w:rsidP="001F5567">
      <w:pPr>
        <w:spacing w:after="0"/>
        <w:rPr>
          <w:sz w:val="24"/>
          <w:szCs w:val="24"/>
          <w:lang w:val="en-GB"/>
        </w:rPr>
      </w:pPr>
      <w:r w:rsidRPr="001F5567">
        <w:rPr>
          <w:sz w:val="24"/>
          <w:szCs w:val="24"/>
          <w:lang w:val="en-GB"/>
        </w:rPr>
        <w:t>The course deals with the use of experimental methods in economics, which is fast growing to test theoretical models in many areas, such as bargaining, auctions, public good provision, and healthcare.</w:t>
      </w:r>
    </w:p>
    <w:p w14:paraId="7B2C0A93" w14:textId="77777777" w:rsidR="001F5567" w:rsidRPr="001F5567" w:rsidRDefault="001F5567" w:rsidP="001F5567">
      <w:pPr>
        <w:spacing w:after="0"/>
        <w:rPr>
          <w:sz w:val="24"/>
          <w:szCs w:val="24"/>
          <w:lang w:val="en-GB"/>
        </w:rPr>
      </w:pPr>
      <w:r w:rsidRPr="001F5567">
        <w:rPr>
          <w:sz w:val="24"/>
          <w:szCs w:val="24"/>
          <w:lang w:val="en-GB"/>
        </w:rPr>
        <w:t>The model aims to introduce PhD students to the experimental methods:</w:t>
      </w:r>
    </w:p>
    <w:p w14:paraId="639EAA34" w14:textId="77777777" w:rsidR="001F5567" w:rsidRPr="001F5567" w:rsidRDefault="001F5567" w:rsidP="001F5567">
      <w:pPr>
        <w:spacing w:after="0"/>
        <w:ind w:left="567"/>
        <w:rPr>
          <w:sz w:val="24"/>
          <w:szCs w:val="24"/>
          <w:lang w:val="en-GB"/>
        </w:rPr>
      </w:pPr>
      <w:r w:rsidRPr="001F5567">
        <w:rPr>
          <w:sz w:val="24"/>
          <w:szCs w:val="24"/>
          <w:lang w:val="en-GB"/>
        </w:rPr>
        <w:t>-why and how experiments are conducted, illustrated via specific topics from experimental literature (market experiments, public goods experiments, experiments in health economics);</w:t>
      </w:r>
    </w:p>
    <w:p w14:paraId="58F47005" w14:textId="77777777" w:rsidR="001F5567" w:rsidRPr="001F5567" w:rsidRDefault="001F5567" w:rsidP="001F5567">
      <w:pPr>
        <w:spacing w:after="0"/>
        <w:ind w:left="567"/>
        <w:rPr>
          <w:sz w:val="24"/>
          <w:szCs w:val="24"/>
          <w:lang w:val="en-GB"/>
        </w:rPr>
      </w:pPr>
      <w:r w:rsidRPr="001F5567">
        <w:rPr>
          <w:sz w:val="24"/>
          <w:szCs w:val="24"/>
          <w:lang w:val="en-GB"/>
        </w:rPr>
        <w:t>-how to build an experiment;</w:t>
      </w:r>
    </w:p>
    <w:p w14:paraId="07F9BC20" w14:textId="323390F0" w:rsidR="001F5567" w:rsidRDefault="001F5567" w:rsidP="001F5567">
      <w:pPr>
        <w:spacing w:after="0"/>
        <w:ind w:left="567"/>
        <w:rPr>
          <w:sz w:val="24"/>
          <w:szCs w:val="24"/>
          <w:lang w:val="en-GB"/>
        </w:rPr>
      </w:pPr>
      <w:r w:rsidRPr="001F5567">
        <w:rPr>
          <w:sz w:val="24"/>
          <w:szCs w:val="24"/>
          <w:lang w:val="en-GB"/>
        </w:rPr>
        <w:t>-how to incentivize experiments.</w:t>
      </w:r>
    </w:p>
    <w:p w14:paraId="7F4C0B4B" w14:textId="77777777" w:rsidR="001F5567" w:rsidRDefault="001F5567" w:rsidP="001F5567">
      <w:pPr>
        <w:spacing w:after="0"/>
        <w:rPr>
          <w:sz w:val="24"/>
          <w:szCs w:val="24"/>
          <w:lang w:val="en-GB"/>
        </w:rPr>
      </w:pPr>
    </w:p>
    <w:p w14:paraId="4B703BC6" w14:textId="0C4D2E66" w:rsidR="006F6A0D" w:rsidRPr="00AE1AF1" w:rsidRDefault="003332F0" w:rsidP="001F5567">
      <w:pPr>
        <w:rPr>
          <w:b/>
          <w:bCs/>
          <w:sz w:val="24"/>
          <w:szCs w:val="24"/>
          <w:lang w:val="en-GB"/>
        </w:rPr>
      </w:pPr>
      <w:r w:rsidRPr="00AE1AF1">
        <w:rPr>
          <w:b/>
          <w:bCs/>
          <w:sz w:val="24"/>
          <w:szCs w:val="24"/>
          <w:lang w:val="en-GB"/>
        </w:rPr>
        <w:t>Course schedule</w:t>
      </w:r>
    </w:p>
    <w:tbl>
      <w:tblPr>
        <w:tblStyle w:val="Grigliatabella"/>
        <w:tblW w:w="0" w:type="auto"/>
        <w:tblLook w:val="04A0" w:firstRow="1" w:lastRow="0" w:firstColumn="1" w:lastColumn="0" w:noHBand="0" w:noVBand="1"/>
      </w:tblPr>
      <w:tblGrid>
        <w:gridCol w:w="4814"/>
        <w:gridCol w:w="4814"/>
      </w:tblGrid>
      <w:tr w:rsidR="005F09DF" w:rsidRPr="00CF7032" w14:paraId="0D70ED0B" w14:textId="77777777" w:rsidTr="001510B0">
        <w:tc>
          <w:tcPr>
            <w:tcW w:w="4814" w:type="dxa"/>
          </w:tcPr>
          <w:p w14:paraId="13FE5910" w14:textId="49A6981B" w:rsidR="005F09DF" w:rsidRPr="003C07A9" w:rsidRDefault="001F5567" w:rsidP="005F09DF">
            <w:pPr>
              <w:rPr>
                <w:rFonts w:cstheme="minorHAnsi"/>
                <w:sz w:val="20"/>
                <w:szCs w:val="20"/>
                <w:lang w:val="en-GB"/>
              </w:rPr>
            </w:pPr>
            <w:r w:rsidRPr="003C07A9">
              <w:rPr>
                <w:rFonts w:cstheme="minorHAnsi"/>
                <w:sz w:val="20"/>
                <w:szCs w:val="20"/>
                <w:lang w:val="en-GB"/>
              </w:rPr>
              <w:t>Types of Economic Experiments</w:t>
            </w:r>
            <w:r w:rsidR="005F09DF" w:rsidRPr="003C07A9">
              <w:rPr>
                <w:rFonts w:cstheme="minorHAnsi"/>
                <w:sz w:val="20"/>
                <w:szCs w:val="20"/>
                <w:lang w:val="en-GB"/>
              </w:rPr>
              <w:t xml:space="preserve"> </w:t>
            </w:r>
          </w:p>
        </w:tc>
        <w:tc>
          <w:tcPr>
            <w:tcW w:w="4814" w:type="dxa"/>
          </w:tcPr>
          <w:p w14:paraId="1FAB65E6" w14:textId="2B2EC15D" w:rsidR="005F09DF" w:rsidRPr="003C07A9" w:rsidRDefault="001F5567" w:rsidP="005F09DF">
            <w:pPr>
              <w:rPr>
                <w:rFonts w:cstheme="minorHAnsi"/>
                <w:color w:val="222222"/>
                <w:shd w:val="clear" w:color="auto" w:fill="FFFFFF"/>
                <w:lang w:val="en-US"/>
              </w:rPr>
            </w:pPr>
            <w:r w:rsidRPr="003C07A9">
              <w:rPr>
                <w:rFonts w:cstheme="minorHAnsi"/>
                <w:color w:val="222222"/>
                <w:shd w:val="clear" w:color="auto" w:fill="FFFFFF"/>
                <w:lang w:val="en-US"/>
              </w:rPr>
              <w:t>Harrison, G. W., &amp; List, J. A. (2004). Field experiments. Journal of Economic literature, 42(4), 1009-1055.</w:t>
            </w:r>
          </w:p>
        </w:tc>
      </w:tr>
      <w:tr w:rsidR="00153587" w:rsidRPr="00B0303F" w14:paraId="6C8AE5C8" w14:textId="77777777" w:rsidTr="001510B0">
        <w:tc>
          <w:tcPr>
            <w:tcW w:w="4814" w:type="dxa"/>
          </w:tcPr>
          <w:p w14:paraId="40427339" w14:textId="115D926C" w:rsidR="00153587" w:rsidRPr="003C07A9" w:rsidRDefault="001F5567" w:rsidP="00153587">
            <w:pPr>
              <w:rPr>
                <w:rFonts w:cstheme="minorHAnsi"/>
                <w:sz w:val="20"/>
                <w:szCs w:val="20"/>
                <w:lang w:val="en-GB"/>
              </w:rPr>
            </w:pPr>
            <w:r w:rsidRPr="003C07A9">
              <w:rPr>
                <w:rFonts w:cstheme="minorHAnsi"/>
                <w:sz w:val="20"/>
                <w:szCs w:val="20"/>
                <w:lang w:val="en-GB"/>
              </w:rPr>
              <w:t>Cognitive biases</w:t>
            </w:r>
          </w:p>
        </w:tc>
        <w:tc>
          <w:tcPr>
            <w:tcW w:w="4814" w:type="dxa"/>
          </w:tcPr>
          <w:p w14:paraId="504B1C56" w14:textId="327B77BA" w:rsidR="00153587" w:rsidRPr="003C07A9" w:rsidRDefault="001F5567" w:rsidP="00153587">
            <w:pPr>
              <w:rPr>
                <w:rFonts w:cstheme="minorHAnsi"/>
                <w:sz w:val="20"/>
                <w:szCs w:val="20"/>
                <w:lang w:val="en-GB"/>
              </w:rPr>
            </w:pPr>
            <w:r w:rsidRPr="003C07A9">
              <w:rPr>
                <w:rFonts w:cstheme="minorHAnsi"/>
                <w:color w:val="222222"/>
                <w:shd w:val="clear" w:color="auto" w:fill="FFFFFF"/>
                <w:lang w:val="en-US"/>
              </w:rPr>
              <w:t>Kagel, J. H., &amp; Roth, A. E. (Eds.). (2020).</w:t>
            </w:r>
            <w:r w:rsidRPr="003C07A9">
              <w:rPr>
                <w:rStyle w:val="apple-converted-space"/>
                <w:rFonts w:cstheme="minorHAnsi"/>
                <w:color w:val="222222"/>
                <w:shd w:val="clear" w:color="auto" w:fill="FFFFFF"/>
                <w:lang w:val="en-US"/>
              </w:rPr>
              <w:t> </w:t>
            </w:r>
            <w:r w:rsidRPr="003C07A9">
              <w:rPr>
                <w:rFonts w:cstheme="minorHAnsi"/>
                <w:i/>
                <w:iCs/>
                <w:color w:val="222222"/>
                <w:lang w:val="en-US"/>
              </w:rPr>
              <w:t xml:space="preserve">The handbook of experimental economics, </w:t>
            </w:r>
            <w:r w:rsidRPr="003C07A9">
              <w:rPr>
                <w:rFonts w:cstheme="minorHAnsi"/>
                <w:color w:val="222222"/>
                <w:lang w:val="en-US"/>
              </w:rPr>
              <w:t>volume 2</w:t>
            </w:r>
            <w:r w:rsidRPr="003C07A9">
              <w:rPr>
                <w:rFonts w:cstheme="minorHAnsi"/>
                <w:color w:val="222222"/>
                <w:shd w:val="clear" w:color="auto" w:fill="FFFFFF"/>
                <w:lang w:val="en-US"/>
              </w:rPr>
              <w:t xml:space="preserve">. </w:t>
            </w:r>
            <w:r w:rsidRPr="003C07A9">
              <w:rPr>
                <w:rFonts w:cstheme="minorHAnsi"/>
                <w:color w:val="222222"/>
                <w:shd w:val="clear" w:color="auto" w:fill="FFFFFF"/>
              </w:rPr>
              <w:t>Princeton University Press</w:t>
            </w:r>
          </w:p>
        </w:tc>
      </w:tr>
      <w:tr w:rsidR="00153587" w:rsidRPr="005917B4" w14:paraId="023327D6" w14:textId="77777777" w:rsidTr="001510B0">
        <w:tc>
          <w:tcPr>
            <w:tcW w:w="4814" w:type="dxa"/>
          </w:tcPr>
          <w:p w14:paraId="279E21FE" w14:textId="631632D0" w:rsidR="00153587" w:rsidRPr="003C07A9" w:rsidRDefault="009A47B0" w:rsidP="00153587">
            <w:pPr>
              <w:rPr>
                <w:rFonts w:cstheme="minorHAnsi"/>
                <w:sz w:val="20"/>
                <w:szCs w:val="20"/>
                <w:lang w:val="en-GB"/>
              </w:rPr>
            </w:pPr>
            <w:r>
              <w:rPr>
                <w:rFonts w:cstheme="minorHAnsi"/>
                <w:sz w:val="20"/>
                <w:szCs w:val="20"/>
                <w:lang w:val="en-GB"/>
              </w:rPr>
              <w:t>Reciprocity models</w:t>
            </w:r>
          </w:p>
        </w:tc>
        <w:tc>
          <w:tcPr>
            <w:tcW w:w="4814" w:type="dxa"/>
          </w:tcPr>
          <w:p w14:paraId="20839FFB" w14:textId="77777777" w:rsidR="00153587" w:rsidRDefault="005917B4" w:rsidP="00153587">
            <w:pPr>
              <w:rPr>
                <w:rFonts w:cstheme="minorHAnsi"/>
                <w:sz w:val="20"/>
                <w:szCs w:val="20"/>
                <w:lang w:val="en-GB"/>
              </w:rPr>
            </w:pPr>
            <w:r w:rsidRPr="005917B4">
              <w:rPr>
                <w:rFonts w:cstheme="minorHAnsi"/>
                <w:sz w:val="20"/>
                <w:szCs w:val="20"/>
                <w:lang w:val="en-GB"/>
              </w:rPr>
              <w:t>Rabin, Matthew. 'Incorporating Fairness into Game Theory and Economics', American Economic Review, Vol. 83, No. 5 (Dec., 1993), pp. 1281-1302</w:t>
            </w:r>
            <w:r>
              <w:rPr>
                <w:rFonts w:cstheme="minorHAnsi"/>
                <w:sz w:val="20"/>
                <w:szCs w:val="20"/>
                <w:lang w:val="en-GB"/>
              </w:rPr>
              <w:t>.</w:t>
            </w:r>
          </w:p>
          <w:p w14:paraId="788ADC52" w14:textId="5670B621" w:rsidR="005917B4" w:rsidRPr="003C07A9" w:rsidRDefault="00906261" w:rsidP="00153587">
            <w:pPr>
              <w:rPr>
                <w:rFonts w:cstheme="minorHAnsi"/>
                <w:sz w:val="20"/>
                <w:szCs w:val="20"/>
                <w:lang w:val="en-GB"/>
              </w:rPr>
            </w:pPr>
            <w:r w:rsidRPr="00906261">
              <w:rPr>
                <w:rFonts w:cstheme="minorHAnsi"/>
                <w:sz w:val="20"/>
                <w:szCs w:val="20"/>
                <w:lang w:val="en-GB"/>
              </w:rPr>
              <w:t>Fehr, Ernst and Klaus, Schmidt. A theory of fairness, competition and cooperation. Quarterly journal of economics, 114(3), 817-868.</w:t>
            </w:r>
          </w:p>
        </w:tc>
      </w:tr>
      <w:tr w:rsidR="00153587" w:rsidRPr="005917B4" w14:paraId="38EB6E19" w14:textId="77777777" w:rsidTr="001510B0">
        <w:tc>
          <w:tcPr>
            <w:tcW w:w="4814" w:type="dxa"/>
          </w:tcPr>
          <w:p w14:paraId="7F8BDB89" w14:textId="2EC66AD2" w:rsidR="00153587" w:rsidRPr="003C07A9" w:rsidRDefault="00906261" w:rsidP="00523F41">
            <w:pPr>
              <w:rPr>
                <w:rFonts w:cstheme="minorHAnsi"/>
                <w:sz w:val="20"/>
                <w:szCs w:val="20"/>
                <w:lang w:val="en-GB"/>
              </w:rPr>
            </w:pPr>
            <w:r>
              <w:rPr>
                <w:rFonts w:cstheme="minorHAnsi"/>
                <w:sz w:val="20"/>
                <w:szCs w:val="20"/>
                <w:lang w:val="en-GB"/>
              </w:rPr>
              <w:t>Risk preferences</w:t>
            </w:r>
          </w:p>
        </w:tc>
        <w:tc>
          <w:tcPr>
            <w:tcW w:w="4814" w:type="dxa"/>
          </w:tcPr>
          <w:p w14:paraId="337209B7" w14:textId="3FBF7449" w:rsidR="00153587" w:rsidRPr="003C07A9" w:rsidRDefault="00225853" w:rsidP="00153587">
            <w:pPr>
              <w:rPr>
                <w:rFonts w:cstheme="minorHAnsi"/>
                <w:sz w:val="20"/>
                <w:szCs w:val="20"/>
                <w:lang w:val="en-GB"/>
              </w:rPr>
            </w:pPr>
            <w:r w:rsidRPr="00225853">
              <w:rPr>
                <w:rFonts w:cstheme="minorHAnsi"/>
                <w:sz w:val="20"/>
                <w:szCs w:val="20"/>
                <w:lang w:val="en-GB"/>
              </w:rPr>
              <w:t>Holt, C. A., &amp; Laury, S. K. (2002). Risk aversion and incentive effects. American economic review, 92(5), 1644-1655.</w:t>
            </w:r>
          </w:p>
        </w:tc>
      </w:tr>
      <w:tr w:rsidR="00153587" w:rsidRPr="005917B4" w14:paraId="1DF2D520" w14:textId="77777777" w:rsidTr="001510B0">
        <w:tc>
          <w:tcPr>
            <w:tcW w:w="4814" w:type="dxa"/>
          </w:tcPr>
          <w:p w14:paraId="3AEB8CE6" w14:textId="61A9AE35" w:rsidR="00153587" w:rsidRPr="003C07A9" w:rsidRDefault="009344FB" w:rsidP="00DF1263">
            <w:pPr>
              <w:rPr>
                <w:rFonts w:cstheme="minorHAnsi"/>
                <w:sz w:val="20"/>
                <w:szCs w:val="20"/>
                <w:lang w:val="en-GB"/>
              </w:rPr>
            </w:pPr>
            <w:r>
              <w:rPr>
                <w:rFonts w:cstheme="minorHAnsi"/>
                <w:sz w:val="20"/>
                <w:szCs w:val="20"/>
                <w:lang w:val="en-GB"/>
              </w:rPr>
              <w:t>An experimental case study</w:t>
            </w:r>
          </w:p>
        </w:tc>
        <w:tc>
          <w:tcPr>
            <w:tcW w:w="4814" w:type="dxa"/>
          </w:tcPr>
          <w:p w14:paraId="798928E5" w14:textId="0FBEB9C4" w:rsidR="00153587" w:rsidRPr="003C07A9" w:rsidRDefault="005F1212" w:rsidP="00153587">
            <w:pPr>
              <w:rPr>
                <w:rFonts w:cstheme="minorHAnsi"/>
                <w:sz w:val="20"/>
                <w:szCs w:val="20"/>
                <w:lang w:val="en-GB"/>
              </w:rPr>
            </w:pPr>
            <w:r w:rsidRPr="005F1212">
              <w:rPr>
                <w:rFonts w:cstheme="minorHAnsi"/>
                <w:sz w:val="20"/>
                <w:szCs w:val="20"/>
              </w:rPr>
              <w:t xml:space="preserve">Castro, M. F., Ferrara, P. L., Guccio, C., &amp; Lisi, D. (2019). </w:t>
            </w:r>
            <w:r w:rsidRPr="005F1212">
              <w:rPr>
                <w:rFonts w:cstheme="minorHAnsi"/>
                <w:sz w:val="20"/>
                <w:szCs w:val="20"/>
                <w:lang w:val="en-GB"/>
              </w:rPr>
              <w:t>Medical malpractice liability and physicians’ behavior: experimental evidence. Journal of Economic Behavior &amp; Organization, 166, 646-666.</w:t>
            </w:r>
          </w:p>
        </w:tc>
      </w:tr>
    </w:tbl>
    <w:p w14:paraId="48CFDA59" w14:textId="14D759D6" w:rsidR="003332F0" w:rsidRPr="003C07A9" w:rsidRDefault="001D51F6">
      <w:pPr>
        <w:rPr>
          <w:sz w:val="24"/>
          <w:szCs w:val="24"/>
          <w:lang w:val="en-GB"/>
        </w:rPr>
      </w:pPr>
      <w:r w:rsidRPr="003C07A9">
        <w:rPr>
          <w:i/>
          <w:iCs/>
          <w:sz w:val="24"/>
          <w:szCs w:val="24"/>
          <w:lang w:val="en-GB"/>
        </w:rPr>
        <w:t>Note</w:t>
      </w:r>
      <w:r w:rsidRPr="003C07A9">
        <w:rPr>
          <w:sz w:val="24"/>
          <w:szCs w:val="24"/>
          <w:lang w:val="en-GB"/>
        </w:rPr>
        <w:t>: Further reading material will be provided during the course.</w:t>
      </w:r>
    </w:p>
    <w:p w14:paraId="42A6881A" w14:textId="38CE73D5" w:rsidR="003332F0" w:rsidRPr="003C07A9" w:rsidRDefault="00530D75">
      <w:pPr>
        <w:rPr>
          <w:sz w:val="24"/>
          <w:szCs w:val="24"/>
          <w:lang w:val="en-GB"/>
        </w:rPr>
      </w:pPr>
      <w:r w:rsidRPr="003C07A9">
        <w:rPr>
          <w:b/>
          <w:bCs/>
          <w:sz w:val="24"/>
          <w:szCs w:val="24"/>
          <w:lang w:val="en-GB"/>
        </w:rPr>
        <w:t>Bimester:</w:t>
      </w:r>
      <w:r w:rsidRPr="003C07A9">
        <w:rPr>
          <w:sz w:val="24"/>
          <w:szCs w:val="24"/>
          <w:lang w:val="en-GB"/>
        </w:rPr>
        <w:t xml:space="preserve"> </w:t>
      </w:r>
      <w:r w:rsidR="004D2938" w:rsidRPr="003C07A9">
        <w:rPr>
          <w:sz w:val="24"/>
          <w:szCs w:val="24"/>
          <w:lang w:val="en-GB"/>
        </w:rPr>
        <w:t>May-June</w:t>
      </w:r>
    </w:p>
    <w:sectPr w:rsidR="003332F0" w:rsidRPr="003C07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0"/>
    <w:rsid w:val="000042A3"/>
    <w:rsid w:val="00021577"/>
    <w:rsid w:val="000B29E0"/>
    <w:rsid w:val="00147042"/>
    <w:rsid w:val="001510B0"/>
    <w:rsid w:val="00152702"/>
    <w:rsid w:val="00153587"/>
    <w:rsid w:val="001D51F6"/>
    <w:rsid w:val="001F5567"/>
    <w:rsid w:val="00225853"/>
    <w:rsid w:val="00227079"/>
    <w:rsid w:val="002C5F6C"/>
    <w:rsid w:val="002F096D"/>
    <w:rsid w:val="003332F0"/>
    <w:rsid w:val="00392B1D"/>
    <w:rsid w:val="003A40D3"/>
    <w:rsid w:val="003C07A9"/>
    <w:rsid w:val="003E733A"/>
    <w:rsid w:val="00493DC9"/>
    <w:rsid w:val="004D2938"/>
    <w:rsid w:val="00523F41"/>
    <w:rsid w:val="00530D75"/>
    <w:rsid w:val="00543F39"/>
    <w:rsid w:val="005755C8"/>
    <w:rsid w:val="005917B4"/>
    <w:rsid w:val="005B1D93"/>
    <w:rsid w:val="005F09DF"/>
    <w:rsid w:val="005F1212"/>
    <w:rsid w:val="006F6A0D"/>
    <w:rsid w:val="00880D6A"/>
    <w:rsid w:val="008F1812"/>
    <w:rsid w:val="00906261"/>
    <w:rsid w:val="00932BDF"/>
    <w:rsid w:val="009344FB"/>
    <w:rsid w:val="00943EAD"/>
    <w:rsid w:val="009A47B0"/>
    <w:rsid w:val="00A23B87"/>
    <w:rsid w:val="00A535B3"/>
    <w:rsid w:val="00AE1AF1"/>
    <w:rsid w:val="00B0303F"/>
    <w:rsid w:val="00B154FA"/>
    <w:rsid w:val="00B42EDD"/>
    <w:rsid w:val="00B855AE"/>
    <w:rsid w:val="00B937B6"/>
    <w:rsid w:val="00C949CF"/>
    <w:rsid w:val="00CF7032"/>
    <w:rsid w:val="00D350BF"/>
    <w:rsid w:val="00D81013"/>
    <w:rsid w:val="00DB4B1C"/>
    <w:rsid w:val="00DF1263"/>
    <w:rsid w:val="00DF1AA7"/>
    <w:rsid w:val="00E2299A"/>
    <w:rsid w:val="00E63640"/>
    <w:rsid w:val="00EC53BC"/>
    <w:rsid w:val="00F57A01"/>
    <w:rsid w:val="00F66939"/>
    <w:rsid w:val="00FD1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DE99"/>
  <w15:chartTrackingRefBased/>
  <w15:docId w15:val="{86582F26-CE9F-4135-B0BA-58A9A771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3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332F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332F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332F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332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32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32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32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2F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332F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332F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332F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332F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332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32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32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32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32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32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32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32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32F0"/>
    <w:rPr>
      <w:i/>
      <w:iCs/>
      <w:color w:val="404040" w:themeColor="text1" w:themeTint="BF"/>
    </w:rPr>
  </w:style>
  <w:style w:type="paragraph" w:styleId="Paragrafoelenco">
    <w:name w:val="List Paragraph"/>
    <w:basedOn w:val="Normale"/>
    <w:uiPriority w:val="34"/>
    <w:qFormat/>
    <w:rsid w:val="003332F0"/>
    <w:pPr>
      <w:ind w:left="720"/>
      <w:contextualSpacing/>
    </w:pPr>
  </w:style>
  <w:style w:type="character" w:styleId="Enfasiintensa">
    <w:name w:val="Intense Emphasis"/>
    <w:basedOn w:val="Carpredefinitoparagrafo"/>
    <w:uiPriority w:val="21"/>
    <w:qFormat/>
    <w:rsid w:val="003332F0"/>
    <w:rPr>
      <w:i/>
      <w:iCs/>
      <w:color w:val="2F5496" w:themeColor="accent1" w:themeShade="BF"/>
    </w:rPr>
  </w:style>
  <w:style w:type="paragraph" w:styleId="Citazioneintensa">
    <w:name w:val="Intense Quote"/>
    <w:basedOn w:val="Normale"/>
    <w:next w:val="Normale"/>
    <w:link w:val="CitazioneintensaCarattere"/>
    <w:uiPriority w:val="30"/>
    <w:qFormat/>
    <w:rsid w:val="0033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332F0"/>
    <w:rPr>
      <w:i/>
      <w:iCs/>
      <w:color w:val="2F5496" w:themeColor="accent1" w:themeShade="BF"/>
    </w:rPr>
  </w:style>
  <w:style w:type="character" w:styleId="Riferimentointenso">
    <w:name w:val="Intense Reference"/>
    <w:basedOn w:val="Carpredefinitoparagrafo"/>
    <w:uiPriority w:val="32"/>
    <w:qFormat/>
    <w:rsid w:val="003332F0"/>
    <w:rPr>
      <w:b/>
      <w:bCs/>
      <w:smallCaps/>
      <w:color w:val="2F5496" w:themeColor="accent1" w:themeShade="BF"/>
      <w:spacing w:val="5"/>
    </w:rPr>
  </w:style>
  <w:style w:type="table" w:styleId="Grigliatabella">
    <w:name w:val="Table Grid"/>
    <w:basedOn w:val="Tabellanormale"/>
    <w:uiPriority w:val="39"/>
    <w:rsid w:val="0015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23F41"/>
    <w:rPr>
      <w:color w:val="0563C1" w:themeColor="hyperlink"/>
      <w:u w:val="single"/>
    </w:rPr>
  </w:style>
  <w:style w:type="character" w:styleId="Menzionenonrisolta">
    <w:name w:val="Unresolved Mention"/>
    <w:basedOn w:val="Carpredefinitoparagrafo"/>
    <w:uiPriority w:val="99"/>
    <w:semiHidden/>
    <w:unhideWhenUsed/>
    <w:rsid w:val="00523F41"/>
    <w:rPr>
      <w:color w:val="605E5C"/>
      <w:shd w:val="clear" w:color="auto" w:fill="E1DFDD"/>
    </w:rPr>
  </w:style>
  <w:style w:type="character" w:customStyle="1" w:styleId="apple-converted-space">
    <w:name w:val="apple-converted-space"/>
    <w:basedOn w:val="Carpredefinitoparagrafo"/>
    <w:rsid w:val="001F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296827">
      <w:bodyDiv w:val="1"/>
      <w:marLeft w:val="0"/>
      <w:marRight w:val="0"/>
      <w:marTop w:val="0"/>
      <w:marBottom w:val="0"/>
      <w:divBdr>
        <w:top w:val="none" w:sz="0" w:space="0" w:color="auto"/>
        <w:left w:val="none" w:sz="0" w:space="0" w:color="auto"/>
        <w:bottom w:val="none" w:sz="0" w:space="0" w:color="auto"/>
        <w:right w:val="none" w:sz="0" w:space="0" w:color="auto"/>
      </w:divBdr>
    </w:div>
    <w:div w:id="10799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243</Words>
  <Characters>1391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Greco</dc:creator>
  <cp:keywords/>
  <dc:description/>
  <cp:lastModifiedBy>Marina Cavalieri</cp:lastModifiedBy>
  <cp:revision>10</cp:revision>
  <dcterms:created xsi:type="dcterms:W3CDTF">2024-10-02T08:34:00Z</dcterms:created>
  <dcterms:modified xsi:type="dcterms:W3CDTF">2024-10-03T21:18:00Z</dcterms:modified>
</cp:coreProperties>
</file>