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06CA" w14:textId="6E15BA3E" w:rsidR="008C37F0" w:rsidRPr="008C37F0" w:rsidRDefault="008C37F0">
      <w:pPr>
        <w:rPr>
          <w:b/>
          <w:bCs/>
          <w:sz w:val="24"/>
          <w:szCs w:val="24"/>
          <w:lang w:val="en-US"/>
        </w:rPr>
      </w:pPr>
      <w:bookmarkStart w:id="0" w:name="_Hlk175930121"/>
      <w:r w:rsidRPr="008C37F0">
        <w:rPr>
          <w:b/>
          <w:bCs/>
          <w:sz w:val="24"/>
          <w:szCs w:val="24"/>
          <w:lang w:val="en-US"/>
        </w:rPr>
        <w:t>STRATEGIC MANAGEMENT I</w:t>
      </w:r>
      <w:bookmarkEnd w:id="0"/>
      <w:r w:rsidR="004A43A4">
        <w:rPr>
          <w:b/>
          <w:bCs/>
          <w:sz w:val="24"/>
          <w:szCs w:val="24"/>
          <w:lang w:val="en-US"/>
        </w:rPr>
        <w:t>I</w:t>
      </w:r>
      <w:r w:rsidRPr="008C37F0">
        <w:rPr>
          <w:b/>
          <w:bCs/>
          <w:sz w:val="24"/>
          <w:szCs w:val="24"/>
          <w:lang w:val="en-US"/>
        </w:rPr>
        <w:t xml:space="preserve"> </w:t>
      </w:r>
    </w:p>
    <w:p w14:paraId="290ABBB8" w14:textId="5FC6C9E7" w:rsidR="00EC53BC" w:rsidRPr="004A43A4" w:rsidRDefault="008C37F0">
      <w:pPr>
        <w:rPr>
          <w:sz w:val="24"/>
          <w:szCs w:val="24"/>
          <w:lang w:val="en-US"/>
        </w:rPr>
      </w:pPr>
      <w:r w:rsidRPr="004A43A4">
        <w:rPr>
          <w:sz w:val="24"/>
          <w:szCs w:val="24"/>
          <w:lang w:val="en-US"/>
        </w:rPr>
        <w:t xml:space="preserve">Prof. </w:t>
      </w:r>
      <w:r w:rsidR="004A43A4" w:rsidRPr="004A43A4">
        <w:rPr>
          <w:sz w:val="24"/>
          <w:szCs w:val="24"/>
          <w:lang w:val="en-US"/>
        </w:rPr>
        <w:t>Mel</w:t>
      </w:r>
      <w:r w:rsidR="004A43A4">
        <w:rPr>
          <w:sz w:val="24"/>
          <w:szCs w:val="24"/>
          <w:lang w:val="en-US"/>
        </w:rPr>
        <w:t>ita Nicotra</w:t>
      </w:r>
    </w:p>
    <w:p w14:paraId="3DAE16B1" w14:textId="478DE158" w:rsidR="00A23B87" w:rsidRPr="008C37F0" w:rsidRDefault="00A23B87">
      <w:pPr>
        <w:rPr>
          <w:b/>
          <w:bCs/>
          <w:sz w:val="24"/>
          <w:szCs w:val="24"/>
        </w:rPr>
      </w:pPr>
      <w:proofErr w:type="spellStart"/>
      <w:r w:rsidRPr="008C37F0">
        <w:rPr>
          <w:b/>
          <w:bCs/>
          <w:sz w:val="24"/>
          <w:szCs w:val="24"/>
        </w:rPr>
        <w:t>Contents</w:t>
      </w:r>
      <w:proofErr w:type="spellEnd"/>
    </w:p>
    <w:p w14:paraId="5443ABDA" w14:textId="6AAADC47" w:rsidR="00A23B87" w:rsidRPr="008C37F0" w:rsidRDefault="008C37F0">
      <w:pPr>
        <w:rPr>
          <w:sz w:val="24"/>
          <w:szCs w:val="24"/>
          <w:lang w:val="en-US"/>
        </w:rPr>
      </w:pPr>
      <w:r w:rsidRPr="008C37F0">
        <w:rPr>
          <w:sz w:val="24"/>
          <w:szCs w:val="24"/>
          <w:lang w:val="en-US"/>
        </w:rPr>
        <w:t>The purpose of this seminar is to provide the student with a perspective on</w:t>
      </w:r>
      <w:r w:rsidR="004A43A4">
        <w:rPr>
          <w:sz w:val="24"/>
          <w:szCs w:val="24"/>
          <w:lang w:val="en-US"/>
        </w:rPr>
        <w:t xml:space="preserve"> c</w:t>
      </w:r>
      <w:r w:rsidR="004A43A4" w:rsidRPr="004A43A4">
        <w:rPr>
          <w:sz w:val="24"/>
          <w:szCs w:val="24"/>
          <w:lang w:val="en-US"/>
        </w:rPr>
        <w:t>urrent trends in strategic management studies</w:t>
      </w:r>
      <w:r w:rsidRPr="008C37F0">
        <w:rPr>
          <w:sz w:val="24"/>
          <w:szCs w:val="24"/>
          <w:lang w:val="en-US"/>
        </w:rPr>
        <w:t xml:space="preserve">.  To achieve this goal, the student will be exposed to the major </w:t>
      </w:r>
      <w:r w:rsidR="004A43A4">
        <w:rPr>
          <w:sz w:val="24"/>
          <w:szCs w:val="24"/>
          <w:lang w:val="en-US"/>
        </w:rPr>
        <w:t xml:space="preserve">research </w:t>
      </w:r>
      <w:proofErr w:type="gramStart"/>
      <w:r w:rsidR="004A43A4">
        <w:rPr>
          <w:sz w:val="24"/>
          <w:szCs w:val="24"/>
          <w:lang w:val="en-US"/>
        </w:rPr>
        <w:t>interests</w:t>
      </w:r>
      <w:proofErr w:type="gramEnd"/>
      <w:r w:rsidR="004A43A4">
        <w:rPr>
          <w:sz w:val="24"/>
          <w:szCs w:val="24"/>
          <w:lang w:val="en-US"/>
        </w:rPr>
        <w:t xml:space="preserve"> trends </w:t>
      </w:r>
      <w:r w:rsidRPr="008C37F0">
        <w:rPr>
          <w:sz w:val="24"/>
          <w:szCs w:val="24"/>
          <w:lang w:val="en-US"/>
        </w:rPr>
        <w:t xml:space="preserve">and a set of related reading materials.  The student will achieve the objective when she or he can describe, define and specify the relationships among major variables in each of the </w:t>
      </w:r>
      <w:r w:rsidR="004A43A4">
        <w:rPr>
          <w:sz w:val="24"/>
          <w:szCs w:val="24"/>
          <w:lang w:val="en-US"/>
        </w:rPr>
        <w:t>empirical</w:t>
      </w:r>
      <w:r w:rsidRPr="008C37F0">
        <w:rPr>
          <w:sz w:val="24"/>
          <w:szCs w:val="24"/>
          <w:lang w:val="en-US"/>
        </w:rPr>
        <w:t xml:space="preserve"> models treated in the course and understand them critically.   </w:t>
      </w:r>
    </w:p>
    <w:p w14:paraId="4B703BC6" w14:textId="46D4295D" w:rsidR="006F6A0D" w:rsidRPr="00EC53BC" w:rsidRDefault="003332F0">
      <w:pPr>
        <w:rPr>
          <w:b/>
          <w:bCs/>
          <w:sz w:val="24"/>
          <w:szCs w:val="24"/>
        </w:rPr>
      </w:pPr>
      <w:r w:rsidRPr="00EC53BC">
        <w:rPr>
          <w:b/>
          <w:bCs/>
          <w:sz w:val="24"/>
          <w:szCs w:val="24"/>
        </w:rPr>
        <w:t>Course schedule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C37F0" w:rsidRPr="0054203C" w14:paraId="7C0BDA5C" w14:textId="77777777" w:rsidTr="001510B0">
        <w:tc>
          <w:tcPr>
            <w:tcW w:w="4814" w:type="dxa"/>
          </w:tcPr>
          <w:p w14:paraId="7BE110DA" w14:textId="77777777" w:rsidR="00003395" w:rsidRDefault="00003395" w:rsidP="0000339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 Lesson</w:t>
            </w:r>
          </w:p>
          <w:p w14:paraId="0045E021" w14:textId="62363A52" w:rsidR="008C37F0" w:rsidRPr="008C37F0" w:rsidRDefault="004A43A4" w:rsidP="008C37F0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 xml:space="preserve">Knowledge-driven innovation </w:t>
            </w:r>
          </w:p>
        </w:tc>
        <w:tc>
          <w:tcPr>
            <w:tcW w:w="4814" w:type="dxa"/>
          </w:tcPr>
          <w:p w14:paraId="1FF69A15" w14:textId="77777777" w:rsidR="00003395" w:rsidRDefault="00003395" w:rsidP="004A43A4">
            <w:pPr>
              <w:rPr>
                <w:rFonts w:cstheme="minorHAnsi"/>
                <w:lang w:val="en-GB"/>
              </w:rPr>
            </w:pPr>
          </w:p>
          <w:p w14:paraId="246351A0" w14:textId="04508478" w:rsidR="004A43A4" w:rsidRPr="008C37F0" w:rsidRDefault="004A43A4" w:rsidP="004A43A4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 xml:space="preserve">Soto-Acosta, P., Popa, S., &amp; Martinez-Conesa, I. (2018). Information technology, knowledge management and environmental dynamism as drivers of innovation ambidexterity: a study in SMEs. Journal of Knowledge Management. </w:t>
            </w:r>
          </w:p>
          <w:p w14:paraId="113F1BF4" w14:textId="77777777" w:rsidR="004A43A4" w:rsidRPr="008C37F0" w:rsidRDefault="004A43A4" w:rsidP="004A43A4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</w:rPr>
              <w:t xml:space="preserve">Del Giudice, M., &amp; Della </w:t>
            </w:r>
            <w:proofErr w:type="spellStart"/>
            <w:r w:rsidRPr="008C37F0">
              <w:rPr>
                <w:rFonts w:cstheme="minorHAnsi"/>
              </w:rPr>
              <w:t>Peruta</w:t>
            </w:r>
            <w:proofErr w:type="spellEnd"/>
            <w:r w:rsidRPr="008C37F0">
              <w:rPr>
                <w:rFonts w:cstheme="minorHAnsi"/>
              </w:rPr>
              <w:t xml:space="preserve">, M. R. (2016). </w:t>
            </w:r>
            <w:r w:rsidRPr="008C37F0">
              <w:rPr>
                <w:rFonts w:cstheme="minorHAnsi"/>
                <w:lang w:val="en-GB"/>
              </w:rPr>
              <w:t xml:space="preserve">The impact of IT-based knowledge management systems on internal venturing and innovation: a structural equation </w:t>
            </w:r>
            <w:proofErr w:type="spellStart"/>
            <w:r w:rsidRPr="008C37F0">
              <w:rPr>
                <w:rFonts w:cstheme="minorHAnsi"/>
                <w:lang w:val="en-GB"/>
              </w:rPr>
              <w:t>modeling</w:t>
            </w:r>
            <w:proofErr w:type="spellEnd"/>
            <w:r w:rsidRPr="008C37F0">
              <w:rPr>
                <w:rFonts w:cstheme="minorHAnsi"/>
                <w:lang w:val="en-GB"/>
              </w:rPr>
              <w:t xml:space="preserve"> approach to corporate performance. Journal of Knowledge Management. </w:t>
            </w:r>
          </w:p>
          <w:p w14:paraId="3D20154A" w14:textId="77777777" w:rsidR="004A43A4" w:rsidRPr="008C37F0" w:rsidRDefault="004A43A4" w:rsidP="004A43A4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 xml:space="preserve">Barros, M. V., Ferreira, M. B., do Prado, G. F., </w:t>
            </w:r>
            <w:proofErr w:type="spellStart"/>
            <w:r w:rsidRPr="008C37F0">
              <w:rPr>
                <w:rFonts w:cstheme="minorHAnsi"/>
                <w:lang w:val="en-GB"/>
              </w:rPr>
              <w:t>Piekarski</w:t>
            </w:r>
            <w:proofErr w:type="spellEnd"/>
            <w:r w:rsidRPr="008C37F0">
              <w:rPr>
                <w:rFonts w:cstheme="minorHAnsi"/>
                <w:lang w:val="en-GB"/>
              </w:rPr>
              <w:t xml:space="preserve">, C. M., &amp; </w:t>
            </w:r>
            <w:proofErr w:type="spellStart"/>
            <w:r w:rsidRPr="008C37F0">
              <w:rPr>
                <w:rFonts w:cstheme="minorHAnsi"/>
                <w:lang w:val="en-GB"/>
              </w:rPr>
              <w:t>Picinin</w:t>
            </w:r>
            <w:proofErr w:type="spellEnd"/>
            <w:r w:rsidRPr="008C37F0">
              <w:rPr>
                <w:rFonts w:cstheme="minorHAnsi"/>
                <w:lang w:val="en-GB"/>
              </w:rPr>
              <w:t xml:space="preserve">, C. T. (2020). The interaction between knowledge management and technology transfer: a current literature review between 2013 and 2018. Journal of Technology Transfer, 45(5). </w:t>
            </w:r>
          </w:p>
          <w:p w14:paraId="13B4040B" w14:textId="12DD93D3" w:rsidR="008C37F0" w:rsidRPr="0054203C" w:rsidRDefault="004A43A4" w:rsidP="004A43A4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fr-FR"/>
              </w:rPr>
              <w:t xml:space="preserve">Wu, W., Liang, Z., &amp; Zhang, Q. (2021). </w:t>
            </w:r>
            <w:r w:rsidRPr="008C37F0">
              <w:rPr>
                <w:rFonts w:cstheme="minorHAnsi"/>
                <w:lang w:val="en-GB"/>
              </w:rPr>
              <w:t>Technological capabilities, technology management and economic performance: the complementary roles of corporate governance and institutional environment. Journal of Knowledge Management.</w:t>
            </w:r>
          </w:p>
        </w:tc>
      </w:tr>
      <w:tr w:rsidR="008C37F0" w:rsidRPr="008C37F0" w14:paraId="2E801D15" w14:textId="77777777" w:rsidTr="001510B0">
        <w:tc>
          <w:tcPr>
            <w:tcW w:w="4814" w:type="dxa"/>
          </w:tcPr>
          <w:p w14:paraId="406E73B6" w14:textId="77777777" w:rsidR="00003395" w:rsidRDefault="00003395" w:rsidP="0000339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Lesson 2</w:t>
            </w:r>
          </w:p>
          <w:p w14:paraId="52311249" w14:textId="3676A27F" w:rsidR="008C37F0" w:rsidRPr="008C37F0" w:rsidRDefault="008C37F0" w:rsidP="008C37F0">
            <w:pPr>
              <w:tabs>
                <w:tab w:val="left" w:pos="3180"/>
              </w:tabs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>Technology Transfer, Entrepreneurial University and Principal Investigators</w:t>
            </w:r>
          </w:p>
        </w:tc>
        <w:tc>
          <w:tcPr>
            <w:tcW w:w="4814" w:type="dxa"/>
          </w:tcPr>
          <w:p w14:paraId="5CEF8BD0" w14:textId="77777777" w:rsidR="00003395" w:rsidRDefault="00003395" w:rsidP="008C37F0">
            <w:pPr>
              <w:rPr>
                <w:rFonts w:cstheme="minorHAnsi"/>
                <w:lang w:val="en-US"/>
              </w:rPr>
            </w:pPr>
          </w:p>
          <w:p w14:paraId="3A95A260" w14:textId="6859ED40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proofErr w:type="spellStart"/>
            <w:r w:rsidRPr="008C37F0">
              <w:rPr>
                <w:rFonts w:cstheme="minorHAnsi"/>
                <w:lang w:val="en-US"/>
              </w:rPr>
              <w:t>Etzkowitz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 H. (2004), The evolution of the entrepreneurial university, International Journal of Technology and </w:t>
            </w:r>
            <w:proofErr w:type="spellStart"/>
            <w:r w:rsidRPr="008C37F0">
              <w:rPr>
                <w:rFonts w:cstheme="minorHAnsi"/>
                <w:lang w:val="en-US"/>
              </w:rPr>
              <w:t>Globalisation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 1 (1): 64–77. </w:t>
            </w:r>
          </w:p>
          <w:p w14:paraId="19831046" w14:textId="7777777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 xml:space="preserve">Wright M., Birley S., Mosey S. (2004), Entrepreneurship and university technology transfer, Journal of Technology Transfer 29: 235-246. </w:t>
            </w:r>
          </w:p>
          <w:p w14:paraId="3F976811" w14:textId="54140746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 xml:space="preserve">Cunningham J., O’Reilly P. O’Kane C., </w:t>
            </w:r>
            <w:proofErr w:type="spellStart"/>
            <w:r w:rsidRPr="008C37F0">
              <w:rPr>
                <w:rFonts w:cstheme="minorHAnsi"/>
                <w:lang w:val="en-US"/>
              </w:rPr>
              <w:t>Mangematin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 V., (2015), Managerial challenges of publicly funded principal Investigators, International Journal of Technology Management, 68: 3/4.</w:t>
            </w:r>
          </w:p>
        </w:tc>
      </w:tr>
      <w:tr w:rsidR="008C37F0" w:rsidRPr="008C37F0" w14:paraId="6C426DDA" w14:textId="77777777" w:rsidTr="001510B0">
        <w:tc>
          <w:tcPr>
            <w:tcW w:w="4814" w:type="dxa"/>
          </w:tcPr>
          <w:p w14:paraId="58ED38C0" w14:textId="77777777" w:rsidR="00003395" w:rsidRDefault="00003395" w:rsidP="0000339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Lesson</w:t>
            </w:r>
            <w:r w:rsidRPr="008C37F0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3</w:t>
            </w:r>
          </w:p>
          <w:p w14:paraId="168E73DB" w14:textId="28CAF413" w:rsidR="008C37F0" w:rsidRPr="008C37F0" w:rsidRDefault="008C37F0" w:rsidP="008C37F0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>Entrepreneurial ecosystem</w:t>
            </w:r>
          </w:p>
        </w:tc>
        <w:tc>
          <w:tcPr>
            <w:tcW w:w="4814" w:type="dxa"/>
          </w:tcPr>
          <w:p w14:paraId="634FCF35" w14:textId="77777777" w:rsidR="00003395" w:rsidRDefault="00003395" w:rsidP="008C37F0">
            <w:pPr>
              <w:rPr>
                <w:rFonts w:cstheme="minorHAnsi"/>
              </w:rPr>
            </w:pPr>
          </w:p>
          <w:p w14:paraId="7FB92A12" w14:textId="1FA6F69E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</w:rPr>
              <w:t xml:space="preserve">Nicotra M., Romano M, Del Giudice M., Schillaci C (2017). </w:t>
            </w:r>
            <w:r w:rsidRPr="008C37F0">
              <w:rPr>
                <w:rFonts w:cstheme="minorHAnsi"/>
                <w:lang w:val="en-US"/>
              </w:rPr>
              <w:t xml:space="preserve">The Causal Relation between Entrepreneurial Ecosystem and Productive </w:t>
            </w:r>
            <w:r w:rsidRPr="008C37F0">
              <w:rPr>
                <w:rFonts w:cstheme="minorHAnsi"/>
                <w:lang w:val="en-US"/>
              </w:rPr>
              <w:lastRenderedPageBreak/>
              <w:t xml:space="preserve">Entrepreneurship. The Journal of Technology Transfer, ISSN: 0892-9912, </w:t>
            </w:r>
            <w:proofErr w:type="spellStart"/>
            <w:r w:rsidRPr="008C37F0">
              <w:rPr>
                <w:rFonts w:cstheme="minorHAnsi"/>
                <w:lang w:val="en-US"/>
              </w:rPr>
              <w:t>doi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: 10.1007/S10961-017-9628-2. </w:t>
            </w:r>
          </w:p>
          <w:p w14:paraId="71FF5A91" w14:textId="7D8FE46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>Corrente S., Greco S., Nicotra M., Romano M., Schillaci C. (2018). Evaluating and comparing entrepreneurial ecosystems using SMAA and SMAA</w:t>
            </w:r>
            <w:r w:rsidRPr="008C37F0">
              <w:rPr>
                <w:rFonts w:ascii="Cambria Math" w:hAnsi="Cambria Math" w:cs="Cambria Math"/>
                <w:lang w:val="en-US"/>
              </w:rPr>
              <w:t>‑</w:t>
            </w:r>
            <w:r w:rsidRPr="008C37F0">
              <w:rPr>
                <w:rFonts w:cstheme="minorHAnsi"/>
                <w:lang w:val="en-US"/>
              </w:rPr>
              <w:t>S, 44, 485</w:t>
            </w:r>
            <w:r w:rsidRPr="008C37F0">
              <w:rPr>
                <w:rFonts w:ascii="Calibri" w:hAnsi="Calibri" w:cs="Calibri"/>
                <w:lang w:val="en-US"/>
              </w:rPr>
              <w:t>–</w:t>
            </w:r>
            <w:r w:rsidRPr="008C37F0">
              <w:rPr>
                <w:rFonts w:cstheme="minorHAnsi"/>
                <w:lang w:val="en-US"/>
              </w:rPr>
              <w:t xml:space="preserve">519, ISSN: 1573-7047, </w:t>
            </w:r>
            <w:proofErr w:type="spellStart"/>
            <w:r w:rsidRPr="008C37F0">
              <w:rPr>
                <w:rFonts w:cstheme="minorHAnsi"/>
                <w:lang w:val="en-US"/>
              </w:rPr>
              <w:t>doi</w:t>
            </w:r>
            <w:proofErr w:type="spellEnd"/>
            <w:r w:rsidRPr="008C37F0">
              <w:rPr>
                <w:rFonts w:cstheme="minorHAnsi"/>
                <w:lang w:val="en-US"/>
              </w:rPr>
              <w:t>: 10.1007/S10961-018-9684.</w:t>
            </w:r>
          </w:p>
        </w:tc>
      </w:tr>
      <w:tr w:rsidR="008C37F0" w:rsidRPr="008C37F0" w14:paraId="313BB34B" w14:textId="77777777" w:rsidTr="001510B0">
        <w:tc>
          <w:tcPr>
            <w:tcW w:w="4814" w:type="dxa"/>
          </w:tcPr>
          <w:p w14:paraId="736D6079" w14:textId="77777777" w:rsidR="00003395" w:rsidRDefault="00003395" w:rsidP="0000339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Lesson</w:t>
            </w:r>
            <w:r w:rsidRPr="008C37F0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4</w:t>
            </w:r>
          </w:p>
          <w:p w14:paraId="4CDF1680" w14:textId="430632A6" w:rsidR="008C37F0" w:rsidRPr="008C37F0" w:rsidRDefault="008C37F0" w:rsidP="008C37F0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>Digital ecosystem and Platform model</w:t>
            </w:r>
          </w:p>
        </w:tc>
        <w:tc>
          <w:tcPr>
            <w:tcW w:w="4814" w:type="dxa"/>
          </w:tcPr>
          <w:p w14:paraId="15EF480E" w14:textId="77777777" w:rsidR="00003395" w:rsidRDefault="00003395" w:rsidP="008C37F0">
            <w:pPr>
              <w:rPr>
                <w:rFonts w:cstheme="minorHAnsi"/>
                <w:lang w:val="en-GB"/>
              </w:rPr>
            </w:pPr>
          </w:p>
          <w:p w14:paraId="35CAA4E8" w14:textId="461B072E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proofErr w:type="spellStart"/>
            <w:r w:rsidRPr="008C37F0">
              <w:rPr>
                <w:rFonts w:cstheme="minorHAnsi"/>
                <w:lang w:val="en-US"/>
              </w:rPr>
              <w:t>Gawer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, A. 2014. "Bridging Differing Perspectives on Technological Platforms: Toward an Integrative Framework," Research Policy (43:7), pp. 1239-1249. </w:t>
            </w:r>
          </w:p>
          <w:p w14:paraId="3A2526A8" w14:textId="7777777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proofErr w:type="spellStart"/>
            <w:r w:rsidRPr="008C37F0">
              <w:rPr>
                <w:rFonts w:cstheme="minorHAnsi"/>
                <w:lang w:val="en-US"/>
              </w:rPr>
              <w:t>Jacobides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, M. G., </w:t>
            </w:r>
            <w:proofErr w:type="spellStart"/>
            <w:r w:rsidRPr="008C37F0">
              <w:rPr>
                <w:rFonts w:cstheme="minorHAnsi"/>
                <w:lang w:val="en-US"/>
              </w:rPr>
              <w:t>Cennamo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, C., and </w:t>
            </w:r>
            <w:proofErr w:type="spellStart"/>
            <w:r w:rsidRPr="008C37F0">
              <w:rPr>
                <w:rFonts w:cstheme="minorHAnsi"/>
                <w:lang w:val="en-US"/>
              </w:rPr>
              <w:t>Gawer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, A. 2018. "Towards a Theory of Ecosystems," Strategic Management Journal (39:8), pp. 2255-2276. </w:t>
            </w:r>
          </w:p>
          <w:p w14:paraId="256F1314" w14:textId="3E48D4B9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>Parker, G. G., and Van Alstyne, M. W. 2018. "Innovation, Openness, and Platform Control," Management Science (64:7), pp. 3015-3032.</w:t>
            </w:r>
          </w:p>
        </w:tc>
      </w:tr>
      <w:tr w:rsidR="008C37F0" w:rsidRPr="008C37F0" w14:paraId="63CBF0FF" w14:textId="77777777" w:rsidTr="001510B0">
        <w:tc>
          <w:tcPr>
            <w:tcW w:w="4814" w:type="dxa"/>
          </w:tcPr>
          <w:p w14:paraId="2F4C3D06" w14:textId="77777777" w:rsidR="00003395" w:rsidRDefault="00003395" w:rsidP="0000339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Lesson</w:t>
            </w:r>
            <w:r w:rsidRPr="008C37F0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5</w:t>
            </w:r>
          </w:p>
          <w:p w14:paraId="60B48174" w14:textId="71BE6567" w:rsidR="008C37F0" w:rsidRPr="008C37F0" w:rsidRDefault="008C37F0" w:rsidP="008C37F0">
            <w:pPr>
              <w:rPr>
                <w:rFonts w:cstheme="minorHAnsi"/>
                <w:lang w:val="en-GB"/>
              </w:rPr>
            </w:pPr>
            <w:r w:rsidRPr="008C37F0">
              <w:rPr>
                <w:rFonts w:cstheme="minorHAnsi"/>
                <w:lang w:val="en-GB"/>
              </w:rPr>
              <w:t>Corporate social responsibility and shared value</w:t>
            </w:r>
          </w:p>
        </w:tc>
        <w:tc>
          <w:tcPr>
            <w:tcW w:w="4814" w:type="dxa"/>
          </w:tcPr>
          <w:p w14:paraId="65047DEE" w14:textId="77777777" w:rsidR="00003395" w:rsidRDefault="00003395" w:rsidP="008C37F0">
            <w:pPr>
              <w:rPr>
                <w:rFonts w:cstheme="minorHAnsi"/>
                <w:lang w:val="en-GB"/>
              </w:rPr>
            </w:pPr>
          </w:p>
          <w:p w14:paraId="20E8D6B5" w14:textId="1ACDD22B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proofErr w:type="spellStart"/>
            <w:r w:rsidRPr="008C37F0">
              <w:rPr>
                <w:rFonts w:cstheme="minorHAnsi"/>
                <w:lang w:val="en-US"/>
              </w:rPr>
              <w:t>Agle</w:t>
            </w:r>
            <w:proofErr w:type="spellEnd"/>
            <w:r w:rsidRPr="008C37F0">
              <w:rPr>
                <w:rFonts w:cstheme="minorHAnsi"/>
                <w:lang w:val="en-US"/>
              </w:rPr>
              <w:t>, B.R., Donaldson, T., Freeman, R.E., Jensen, M. C., Mitchell, R.K., Wood, D.J. 2008. Dialogue: toward superior stakeholder theory. Business Ethics Quarterly, 18(2): 153-190.</w:t>
            </w:r>
          </w:p>
          <w:p w14:paraId="1F81B280" w14:textId="7777777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 xml:space="preserve">McWilliams, A., &amp; Siegel, D. 2000. Corporate social responsibility and financial </w:t>
            </w:r>
            <w:proofErr w:type="spellStart"/>
            <w:proofErr w:type="gramStart"/>
            <w:r w:rsidRPr="008C37F0">
              <w:rPr>
                <w:rFonts w:cstheme="minorHAnsi"/>
                <w:lang w:val="en-US"/>
              </w:rPr>
              <w:t>performance:Correlation</w:t>
            </w:r>
            <w:proofErr w:type="spellEnd"/>
            <w:proofErr w:type="gramEnd"/>
            <w:r w:rsidRPr="008C37F0">
              <w:rPr>
                <w:rFonts w:cstheme="minorHAnsi"/>
                <w:lang w:val="en-US"/>
              </w:rPr>
              <w:t xml:space="preserve"> or misspecification?. Strategic Management Journal, 21(5), 603.</w:t>
            </w:r>
          </w:p>
          <w:p w14:paraId="4DA99CAF" w14:textId="7777777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proofErr w:type="spellStart"/>
            <w:r w:rsidRPr="008C37F0">
              <w:rPr>
                <w:rFonts w:cstheme="minorHAnsi"/>
                <w:lang w:val="en-US"/>
              </w:rPr>
              <w:t>Christmann</w:t>
            </w:r>
            <w:proofErr w:type="spellEnd"/>
            <w:r w:rsidRPr="008C37F0">
              <w:rPr>
                <w:rFonts w:cstheme="minorHAnsi"/>
                <w:lang w:val="en-US"/>
              </w:rPr>
              <w:t>, P. 2000. "Effects of "best practices" of environmental management on cost advantage: The role of complementary assets." Academy of Management Journal, 43: 663-680.</w:t>
            </w:r>
          </w:p>
          <w:p w14:paraId="7EECCAA6" w14:textId="7777777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>Godfrey, Paul C., Merrill, Craig B., Hansen, Jared M. 2009. The relationship between corporate social responsibility and shareholder value: an empirical test of the risk management hypothesis. Strategic Management Journal; 30(4): 425-445.</w:t>
            </w:r>
          </w:p>
          <w:p w14:paraId="5D2743C8" w14:textId="77777777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>Porter, M.E., and M.R. Kramer. 2006. "Strategy and society: The link between competitive advantage and corporate social responsibility." Harvard Business Review, 84 (12).</w:t>
            </w:r>
          </w:p>
          <w:p w14:paraId="07D725A5" w14:textId="466024B3" w:rsidR="008C37F0" w:rsidRPr="008C37F0" w:rsidRDefault="008C37F0" w:rsidP="008C37F0">
            <w:pPr>
              <w:rPr>
                <w:rFonts w:cstheme="minorHAnsi"/>
                <w:lang w:val="en-US"/>
              </w:rPr>
            </w:pPr>
            <w:r w:rsidRPr="008C37F0">
              <w:rPr>
                <w:rFonts w:cstheme="minorHAnsi"/>
                <w:lang w:val="en-US"/>
              </w:rPr>
              <w:t>Porter, Michael E. and Mark R. Kramer, Creating Shared Value, Harvard Business Review 89, nos. 1-2 (</w:t>
            </w:r>
            <w:proofErr w:type="spellStart"/>
            <w:r w:rsidRPr="008C37F0">
              <w:rPr>
                <w:rFonts w:cstheme="minorHAnsi"/>
                <w:lang w:val="en-US"/>
              </w:rPr>
              <w:t>Gennaio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 /</w:t>
            </w:r>
            <w:proofErr w:type="spellStart"/>
            <w:r w:rsidRPr="008C37F0">
              <w:rPr>
                <w:rFonts w:cstheme="minorHAnsi"/>
                <w:lang w:val="en-US"/>
              </w:rPr>
              <w:t>Febbraio</w:t>
            </w:r>
            <w:proofErr w:type="spellEnd"/>
            <w:r w:rsidRPr="008C37F0">
              <w:rPr>
                <w:rFonts w:cstheme="minorHAnsi"/>
                <w:lang w:val="en-US"/>
              </w:rPr>
              <w:t xml:space="preserve"> 2011).</w:t>
            </w:r>
          </w:p>
        </w:tc>
      </w:tr>
    </w:tbl>
    <w:p w14:paraId="48CFDA59" w14:textId="77777777" w:rsidR="003332F0" w:rsidRPr="001510B0" w:rsidRDefault="003332F0">
      <w:pPr>
        <w:rPr>
          <w:lang w:val="en-GB"/>
        </w:rPr>
      </w:pPr>
    </w:p>
    <w:p w14:paraId="42A6881A" w14:textId="042A320B" w:rsidR="003332F0" w:rsidRPr="004D2938" w:rsidRDefault="00530D75">
      <w:pPr>
        <w:rPr>
          <w:lang w:val="en-GB"/>
        </w:rPr>
      </w:pPr>
      <w:r w:rsidRPr="004D2938">
        <w:rPr>
          <w:b/>
          <w:bCs/>
          <w:lang w:val="en-GB"/>
        </w:rPr>
        <w:t>Bimester:</w:t>
      </w:r>
      <w:r w:rsidRPr="004D2938">
        <w:rPr>
          <w:lang w:val="en-GB"/>
        </w:rPr>
        <w:t xml:space="preserve"> </w:t>
      </w:r>
      <w:r w:rsidR="004D2938" w:rsidRPr="004D2938">
        <w:rPr>
          <w:lang w:val="en-GB"/>
        </w:rPr>
        <w:t>Mar</w:t>
      </w:r>
      <w:r w:rsidR="004D2938">
        <w:rPr>
          <w:lang w:val="en-GB"/>
        </w:rPr>
        <w:t>ch-April</w:t>
      </w:r>
      <w:bookmarkStart w:id="1" w:name="_GoBack"/>
      <w:bookmarkEnd w:id="1"/>
    </w:p>
    <w:sectPr w:rsidR="003332F0" w:rsidRPr="004D2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F0"/>
    <w:rsid w:val="00003395"/>
    <w:rsid w:val="000B29E0"/>
    <w:rsid w:val="001510B0"/>
    <w:rsid w:val="00152702"/>
    <w:rsid w:val="003332F0"/>
    <w:rsid w:val="004A43A4"/>
    <w:rsid w:val="004D2938"/>
    <w:rsid w:val="004F00F4"/>
    <w:rsid w:val="00530D75"/>
    <w:rsid w:val="0054203C"/>
    <w:rsid w:val="00543F39"/>
    <w:rsid w:val="006F6A0D"/>
    <w:rsid w:val="008C37F0"/>
    <w:rsid w:val="008F1812"/>
    <w:rsid w:val="00943EAD"/>
    <w:rsid w:val="00A23B87"/>
    <w:rsid w:val="00B937B6"/>
    <w:rsid w:val="00D81013"/>
    <w:rsid w:val="00E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DE99"/>
  <w15:chartTrackingRefBased/>
  <w15:docId w15:val="{86582F26-CE9F-4135-B0BA-58A9A77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2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2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2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2F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5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Marco Romano</cp:lastModifiedBy>
  <cp:revision>3</cp:revision>
  <dcterms:created xsi:type="dcterms:W3CDTF">2024-08-30T15:00:00Z</dcterms:created>
  <dcterms:modified xsi:type="dcterms:W3CDTF">2024-08-30T15:12:00Z</dcterms:modified>
</cp:coreProperties>
</file>