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13AB" w14:textId="77777777" w:rsidR="00AA2C2D" w:rsidRDefault="00E85F5E">
      <w:pPr>
        <w:pStyle w:val="Heading1"/>
      </w:pPr>
      <w:r>
        <w:rPr>
          <w:color w:val="003366"/>
        </w:rPr>
        <w:t>Syllabus – PhD Course Proposal</w:t>
      </w:r>
    </w:p>
    <w:p w14:paraId="5FF13D25" w14:textId="77777777" w:rsidR="00AA2C2D" w:rsidRDefault="00E85F5E">
      <w:pPr>
        <w:pStyle w:val="Heading2"/>
      </w:pPr>
      <w:r>
        <w:rPr>
          <w:color w:val="003366"/>
        </w:rPr>
        <w:t>Course Title:</w:t>
      </w:r>
    </w:p>
    <w:p w14:paraId="44C38CDB" w14:textId="226A633F" w:rsidR="00AA2C2D" w:rsidRDefault="00E85F5E">
      <w:r>
        <w:t>(</w:t>
      </w:r>
      <w:r w:rsidR="00C510B4" w:rsidRPr="00C510B4">
        <w:rPr>
          <w:b/>
          <w:bCs/>
          <w:lang w:val="en-GB"/>
        </w:rPr>
        <w:t>Research design and data analysis with big data</w:t>
      </w:r>
      <w:r w:rsidR="00C510B4">
        <w:rPr>
          <w:b/>
          <w:bCs/>
          <w:lang w:val="en-GB"/>
        </w:rPr>
        <w:t>: applications in organizational field</w:t>
      </w:r>
      <w:r>
        <w:t>)</w:t>
      </w:r>
    </w:p>
    <w:p w14:paraId="1CFF944A" w14:textId="77777777" w:rsidR="00AA2C2D" w:rsidRPr="00C510B4" w:rsidRDefault="00E85F5E">
      <w:pPr>
        <w:pStyle w:val="Heading2"/>
        <w:rPr>
          <w:lang w:val="it-IT"/>
        </w:rPr>
      </w:pPr>
      <w:proofErr w:type="spellStart"/>
      <w:r w:rsidRPr="00C510B4">
        <w:rPr>
          <w:color w:val="003366"/>
          <w:lang w:val="it-IT"/>
        </w:rPr>
        <w:t>Instructor</w:t>
      </w:r>
      <w:proofErr w:type="spellEnd"/>
      <w:r w:rsidRPr="00C510B4">
        <w:rPr>
          <w:color w:val="003366"/>
          <w:lang w:val="it-IT"/>
        </w:rPr>
        <w:t>:</w:t>
      </w:r>
    </w:p>
    <w:p w14:paraId="13E88F7C" w14:textId="6737EE68" w:rsidR="00AA2C2D" w:rsidRPr="00C510B4" w:rsidRDefault="00C510B4">
      <w:pPr>
        <w:rPr>
          <w:lang w:val="it-IT"/>
        </w:rPr>
      </w:pPr>
      <w:r w:rsidRPr="00C510B4">
        <w:rPr>
          <w:lang w:val="it-IT"/>
        </w:rPr>
        <w:t>Giulio Marini</w:t>
      </w:r>
      <w:r w:rsidR="00E85F5E" w:rsidRPr="00C510B4">
        <w:rPr>
          <w:lang w:val="it-IT"/>
        </w:rPr>
        <w:t xml:space="preserve"> – </w:t>
      </w:r>
      <w:r w:rsidRPr="00C510B4">
        <w:rPr>
          <w:lang w:val="it-IT"/>
        </w:rPr>
        <w:t>DEI</w:t>
      </w:r>
      <w:r w:rsidR="00E85F5E" w:rsidRPr="00C510B4">
        <w:rPr>
          <w:lang w:val="it-IT"/>
        </w:rPr>
        <w:t xml:space="preserve"> – </w:t>
      </w:r>
      <w:hyperlink r:id="rId6" w:history="1">
        <w:r w:rsidRPr="00C510B4">
          <w:rPr>
            <w:rStyle w:val="Hyperlink"/>
            <w:lang w:val="it-IT"/>
          </w:rPr>
          <w:t>giulio.marini@unict.it</w:t>
        </w:r>
      </w:hyperlink>
      <w:r w:rsidRPr="00C510B4">
        <w:rPr>
          <w:lang w:val="it-IT"/>
        </w:rPr>
        <w:t xml:space="preserve"> </w:t>
      </w:r>
    </w:p>
    <w:p w14:paraId="5BD54F27" w14:textId="77777777" w:rsidR="00AA2C2D" w:rsidRDefault="00E85F5E">
      <w:pPr>
        <w:pStyle w:val="Heading2"/>
      </w:pPr>
      <w:r>
        <w:rPr>
          <w:color w:val="003366"/>
        </w:rPr>
        <w:t>Course Description:</w:t>
      </w:r>
    </w:p>
    <w:p w14:paraId="74DC6EDD" w14:textId="1210053C" w:rsidR="00C510B4" w:rsidRDefault="00C510B4">
      <w:pPr>
        <w:rPr>
          <w:lang w:val="en-GB"/>
        </w:rPr>
      </w:pPr>
      <w:r w:rsidRPr="00C510B4">
        <w:rPr>
          <w:lang w:val="en-GB"/>
        </w:rPr>
        <w:t xml:space="preserve">The Module introduces main potentialities and hurdles of using (publicly available) big data. Goals are to: 1) envisage a possible research question without resorting to primary data; 2) develop one’s dataset out of (multiple) sources in such a way that researcher will approximate a quasi-experimental research design; 3) delivering respective data analysis. </w:t>
      </w:r>
      <w:r w:rsidR="00D037C8">
        <w:rPr>
          <w:lang w:val="en-GB"/>
        </w:rPr>
        <w:t xml:space="preserve">The main part of the cases refers to publications where dataset is already available and reconstruction / replicability of study is possible and partly pursued during the lectures. The module also aims at discussing some concepts and themes that are classic in organizational literature such as discriminations, namely gender discrimination in promotions, behaviour malpractices and respective solutions (e.g. Gender Equality Plans), or discriminations based on nationality in contexts of talent attractions. </w:t>
      </w:r>
    </w:p>
    <w:p w14:paraId="61F64417" w14:textId="77777777" w:rsidR="00C510B4" w:rsidRDefault="00C510B4">
      <w:pPr>
        <w:rPr>
          <w:lang w:val="en-GB"/>
        </w:rPr>
      </w:pPr>
    </w:p>
    <w:p w14:paraId="403C9670" w14:textId="77777777" w:rsidR="00AA2C2D" w:rsidRDefault="00E85F5E">
      <w:pPr>
        <w:pStyle w:val="Heading2"/>
      </w:pPr>
      <w:r>
        <w:rPr>
          <w:color w:val="003366"/>
        </w:rPr>
        <w:t>Learning Outcomes:</w:t>
      </w:r>
    </w:p>
    <w:p w14:paraId="6F642A57" w14:textId="77777777" w:rsidR="00AA2C2D" w:rsidRDefault="00E85F5E">
      <w:r>
        <w:t>At the end of the course, students will be able to:</w:t>
      </w:r>
    </w:p>
    <w:p w14:paraId="70B93BC5" w14:textId="33CAF3D8" w:rsidR="00AA2C2D" w:rsidRDefault="00E85F5E">
      <w:r>
        <w:t xml:space="preserve">1. </w:t>
      </w:r>
      <w:r w:rsidR="00C510B4">
        <w:t>Realizing the potentiality of open-source data, using Stata or other packages</w:t>
      </w:r>
    </w:p>
    <w:p w14:paraId="0D36F1A0" w14:textId="6F777369" w:rsidR="00AA2C2D" w:rsidRDefault="00E85F5E">
      <w:r>
        <w:t xml:space="preserve">2. </w:t>
      </w:r>
      <w:r w:rsidR="00C510B4">
        <w:t>Develop a research question working on this constraint</w:t>
      </w:r>
    </w:p>
    <w:p w14:paraId="0FE040C0" w14:textId="52B3D12F" w:rsidR="00AA2C2D" w:rsidRDefault="00E85F5E">
      <w:r>
        <w:t xml:space="preserve">3. </w:t>
      </w:r>
      <w:r w:rsidR="00C510B4">
        <w:t>Deepening knowledge on some cases exposed during lectures, namely forms of discriminations withing organizations</w:t>
      </w:r>
    </w:p>
    <w:p w14:paraId="2920AD04" w14:textId="77777777" w:rsidR="00AA2C2D" w:rsidRDefault="00E85F5E">
      <w:pPr>
        <w:pStyle w:val="Heading2"/>
      </w:pPr>
      <w:r>
        <w:rPr>
          <w:color w:val="003366"/>
        </w:rPr>
        <w:t>Prerequisites:</w:t>
      </w:r>
    </w:p>
    <w:p w14:paraId="659A2CD2" w14:textId="3C683557" w:rsidR="00AA2C2D" w:rsidRDefault="00C510B4">
      <w:r>
        <w:t>B</w:t>
      </w:r>
      <w:r w:rsidR="00E85F5E">
        <w:t>asic statistics</w:t>
      </w:r>
      <w:r>
        <w:t xml:space="preserve"> most welcome but not strictly required </w:t>
      </w:r>
      <w:r>
        <w:br/>
        <w:t>Interest in some domains of organizational analyses</w:t>
      </w:r>
    </w:p>
    <w:p w14:paraId="6B9BCA7B" w14:textId="77777777" w:rsidR="00C510B4" w:rsidRDefault="00C510B4"/>
    <w:p w14:paraId="66B6613C" w14:textId="77777777" w:rsidR="00AA2C2D" w:rsidRDefault="00E85F5E">
      <w:pPr>
        <w:pStyle w:val="Heading2"/>
      </w:pPr>
      <w:r>
        <w:rPr>
          <w:color w:val="003366"/>
        </w:rPr>
        <w:t>Course Structure and Schedule (15 hours):</w:t>
      </w:r>
    </w:p>
    <w:tbl>
      <w:tblPr>
        <w:tblStyle w:val="TableGrid"/>
        <w:tblW w:w="0" w:type="auto"/>
        <w:tblLook w:val="04A0" w:firstRow="1" w:lastRow="0" w:firstColumn="1" w:lastColumn="0" w:noHBand="0" w:noVBand="1"/>
      </w:tblPr>
      <w:tblGrid>
        <w:gridCol w:w="2880"/>
        <w:gridCol w:w="2880"/>
        <w:gridCol w:w="2880"/>
      </w:tblGrid>
      <w:tr w:rsidR="00AA2C2D" w14:paraId="5B6FE5BB" w14:textId="77777777">
        <w:tc>
          <w:tcPr>
            <w:tcW w:w="2880" w:type="dxa"/>
          </w:tcPr>
          <w:p w14:paraId="7DBD18AE" w14:textId="77777777" w:rsidR="00AA2C2D" w:rsidRDefault="00E85F5E">
            <w:r>
              <w:t>Session</w:t>
            </w:r>
          </w:p>
        </w:tc>
        <w:tc>
          <w:tcPr>
            <w:tcW w:w="2880" w:type="dxa"/>
          </w:tcPr>
          <w:p w14:paraId="5A68BBE7" w14:textId="77777777" w:rsidR="00AA2C2D" w:rsidRDefault="00E85F5E">
            <w:r>
              <w:t>Topic</w:t>
            </w:r>
          </w:p>
        </w:tc>
        <w:tc>
          <w:tcPr>
            <w:tcW w:w="2880" w:type="dxa"/>
          </w:tcPr>
          <w:p w14:paraId="7EFD6DF2" w14:textId="65EA7906" w:rsidR="00AA2C2D" w:rsidRDefault="00E85F5E">
            <w:r>
              <w:t>Key Readings</w:t>
            </w:r>
            <w:r w:rsidR="00C510B4">
              <w:t xml:space="preserve"> (see list below)</w:t>
            </w:r>
          </w:p>
        </w:tc>
      </w:tr>
      <w:tr w:rsidR="00AA2C2D" w14:paraId="4C3E05C5" w14:textId="77777777">
        <w:tc>
          <w:tcPr>
            <w:tcW w:w="2880" w:type="dxa"/>
          </w:tcPr>
          <w:p w14:paraId="6ECD2AD8" w14:textId="77777777" w:rsidR="00AA2C2D" w:rsidRDefault="00E85F5E">
            <w:r>
              <w:t>1</w:t>
            </w:r>
          </w:p>
        </w:tc>
        <w:tc>
          <w:tcPr>
            <w:tcW w:w="2880" w:type="dxa"/>
          </w:tcPr>
          <w:p w14:paraId="4FF1A098" w14:textId="3F5856BE" w:rsidR="00AA2C2D" w:rsidRDefault="00C510B4">
            <w:r>
              <w:t>What is “Big Data”</w:t>
            </w:r>
          </w:p>
        </w:tc>
        <w:tc>
          <w:tcPr>
            <w:tcW w:w="2880" w:type="dxa"/>
          </w:tcPr>
          <w:p w14:paraId="03AAD870" w14:textId="626D21CE" w:rsidR="00AA2C2D" w:rsidRDefault="00C510B4">
            <w:r>
              <w:t>1</w:t>
            </w:r>
          </w:p>
        </w:tc>
      </w:tr>
      <w:tr w:rsidR="00AA2C2D" w14:paraId="6C0B55B4" w14:textId="77777777">
        <w:tc>
          <w:tcPr>
            <w:tcW w:w="2880" w:type="dxa"/>
          </w:tcPr>
          <w:p w14:paraId="0270428B" w14:textId="77777777" w:rsidR="00AA2C2D" w:rsidRDefault="00E85F5E">
            <w:r>
              <w:t>2</w:t>
            </w:r>
          </w:p>
        </w:tc>
        <w:tc>
          <w:tcPr>
            <w:tcW w:w="2880" w:type="dxa"/>
          </w:tcPr>
          <w:p w14:paraId="27B57828" w14:textId="2AD37D44" w:rsidR="00AA2C2D" w:rsidRDefault="00C510B4">
            <w:r>
              <w:t xml:space="preserve">Investigating </w:t>
            </w:r>
            <w:r w:rsidR="00CE5607">
              <w:t xml:space="preserve">discrimination by nationality and </w:t>
            </w:r>
            <w:r w:rsidR="00CE5607">
              <w:lastRenderedPageBreak/>
              <w:t>managerial positions</w:t>
            </w:r>
          </w:p>
        </w:tc>
        <w:tc>
          <w:tcPr>
            <w:tcW w:w="2880" w:type="dxa"/>
          </w:tcPr>
          <w:p w14:paraId="77CF7012" w14:textId="364D187B" w:rsidR="00AA2C2D" w:rsidRDefault="00CE5607">
            <w:r>
              <w:lastRenderedPageBreak/>
              <w:t>2; 3</w:t>
            </w:r>
          </w:p>
        </w:tc>
      </w:tr>
      <w:tr w:rsidR="00AA2C2D" w14:paraId="615AB5B4" w14:textId="77777777">
        <w:tc>
          <w:tcPr>
            <w:tcW w:w="2880" w:type="dxa"/>
          </w:tcPr>
          <w:p w14:paraId="09E3BB47" w14:textId="77777777" w:rsidR="00AA2C2D" w:rsidRDefault="00E85F5E">
            <w:r>
              <w:t>3</w:t>
            </w:r>
          </w:p>
        </w:tc>
        <w:tc>
          <w:tcPr>
            <w:tcW w:w="2880" w:type="dxa"/>
          </w:tcPr>
          <w:p w14:paraId="00944107" w14:textId="4D9AB738" w:rsidR="00AA2C2D" w:rsidRDefault="00CE5607">
            <w:r>
              <w:t>Gender Equality 1 (</w:t>
            </w:r>
            <w:r>
              <w:t>Promotions in organizations</w:t>
            </w:r>
            <w:r>
              <w:t>)</w:t>
            </w:r>
          </w:p>
        </w:tc>
        <w:tc>
          <w:tcPr>
            <w:tcW w:w="2880" w:type="dxa"/>
          </w:tcPr>
          <w:p w14:paraId="528F5FCA" w14:textId="6658D1A5" w:rsidR="00AA2C2D" w:rsidRDefault="00CE5607">
            <w:r>
              <w:t>4; 5; 6</w:t>
            </w:r>
          </w:p>
        </w:tc>
      </w:tr>
      <w:tr w:rsidR="00AA2C2D" w14:paraId="023418F1" w14:textId="77777777">
        <w:tc>
          <w:tcPr>
            <w:tcW w:w="2880" w:type="dxa"/>
          </w:tcPr>
          <w:p w14:paraId="6FF9A037" w14:textId="77777777" w:rsidR="00AA2C2D" w:rsidRDefault="00E85F5E">
            <w:r>
              <w:t>4</w:t>
            </w:r>
          </w:p>
        </w:tc>
        <w:tc>
          <w:tcPr>
            <w:tcW w:w="2880" w:type="dxa"/>
          </w:tcPr>
          <w:p w14:paraId="5684586A" w14:textId="59495ED9" w:rsidR="00AA2C2D" w:rsidRDefault="00CE5607">
            <w:r>
              <w:t>Gender Equality 2 (</w:t>
            </w:r>
            <w:r>
              <w:t>Post-doctoral level and Gender Equality Plans</w:t>
            </w:r>
            <w:r>
              <w:t>)</w:t>
            </w:r>
          </w:p>
        </w:tc>
        <w:tc>
          <w:tcPr>
            <w:tcW w:w="2880" w:type="dxa"/>
          </w:tcPr>
          <w:p w14:paraId="2E40ACDB" w14:textId="6EC888B7" w:rsidR="00AA2C2D" w:rsidRDefault="00CE5607">
            <w:r>
              <w:t>7</w:t>
            </w:r>
          </w:p>
        </w:tc>
      </w:tr>
      <w:tr w:rsidR="00AA2C2D" w14:paraId="1CB29D0E" w14:textId="77777777">
        <w:tc>
          <w:tcPr>
            <w:tcW w:w="2880" w:type="dxa"/>
          </w:tcPr>
          <w:p w14:paraId="23AD7EB0" w14:textId="77777777" w:rsidR="00AA2C2D" w:rsidRDefault="00E85F5E">
            <w:r>
              <w:t>5</w:t>
            </w:r>
          </w:p>
        </w:tc>
        <w:tc>
          <w:tcPr>
            <w:tcW w:w="2880" w:type="dxa"/>
          </w:tcPr>
          <w:p w14:paraId="51E1F510" w14:textId="0D2C18DC" w:rsidR="00AA2C2D" w:rsidRDefault="00CE5607">
            <w:r>
              <w:t>Exercise for 1</w:t>
            </w:r>
            <w:r w:rsidRPr="00CE5607">
              <w:rPr>
                <w:vertAlign w:val="superscript"/>
              </w:rPr>
              <w:t>st</w:t>
            </w:r>
            <w:r>
              <w:t xml:space="preserve"> year students</w:t>
            </w:r>
          </w:p>
        </w:tc>
        <w:tc>
          <w:tcPr>
            <w:tcW w:w="2880" w:type="dxa"/>
          </w:tcPr>
          <w:p w14:paraId="64835076" w14:textId="3476B537" w:rsidR="00AA2C2D" w:rsidRDefault="00CE5607">
            <w:r>
              <w:t>Open – use of Scopus &amp;/or Web of Science</w:t>
            </w:r>
          </w:p>
        </w:tc>
      </w:tr>
    </w:tbl>
    <w:p w14:paraId="0B3FE1EE" w14:textId="77777777" w:rsidR="00AA2C2D" w:rsidRDefault="00E85F5E">
      <w:pPr>
        <w:pStyle w:val="Heading2"/>
      </w:pPr>
      <w:r>
        <w:rPr>
          <w:color w:val="003366"/>
        </w:rPr>
        <w:t>Teaching Methods:</w:t>
      </w:r>
    </w:p>
    <w:p w14:paraId="2CCB11A6" w14:textId="77777777" w:rsidR="00AA2C2D" w:rsidRDefault="00E85F5E">
      <w:r>
        <w:t>Lectures, practical exercises, seminar discussions.</w:t>
      </w:r>
    </w:p>
    <w:p w14:paraId="0570CAE6" w14:textId="77777777" w:rsidR="00AA2C2D" w:rsidRDefault="00E85F5E">
      <w:pPr>
        <w:pStyle w:val="Heading2"/>
      </w:pPr>
      <w:r>
        <w:rPr>
          <w:color w:val="003366"/>
        </w:rPr>
        <w:t>Assessment:</w:t>
      </w:r>
    </w:p>
    <w:p w14:paraId="532498DE" w14:textId="0668C79E" w:rsidR="00AA2C2D" w:rsidRDefault="00C510B4">
      <w:r w:rsidRPr="00C510B4">
        <w:rPr>
          <w:lang w:val="en-GB"/>
        </w:rPr>
        <w:t>Students at first year will have to write a short</w:t>
      </w:r>
      <w:r>
        <w:rPr>
          <w:lang w:val="en-GB"/>
        </w:rPr>
        <w:t>,</w:t>
      </w:r>
      <w:r w:rsidRPr="00C510B4">
        <w:rPr>
          <w:lang w:val="en-GB"/>
        </w:rPr>
        <w:t xml:space="preserve"> 1</w:t>
      </w:r>
      <w:r>
        <w:rPr>
          <w:lang w:val="en-GB"/>
        </w:rPr>
        <w:t>0</w:t>
      </w:r>
      <w:r w:rsidRPr="00C510B4">
        <w:rPr>
          <w:lang w:val="en-GB"/>
        </w:rPr>
        <w:t>00 words</w:t>
      </w:r>
      <w:r>
        <w:rPr>
          <w:lang w:val="en-GB"/>
        </w:rPr>
        <w:t>,</w:t>
      </w:r>
      <w:r w:rsidRPr="00C510B4">
        <w:rPr>
          <w:lang w:val="en-GB"/>
        </w:rPr>
        <w:t xml:space="preserve"> essay discussing an original literature review they will perform about their own topic of PhD (e.g., occurrences of keywords and topics out of searches within Scopus). </w:t>
      </w:r>
      <w:r>
        <w:rPr>
          <w:lang w:val="en-GB"/>
        </w:rPr>
        <w:t xml:space="preserve">Students at following doctoral years are welcome to attend, but do not have to submit an assignment. </w:t>
      </w:r>
    </w:p>
    <w:p w14:paraId="3E096925" w14:textId="77777777" w:rsidR="00AA2C2D" w:rsidRDefault="00E85F5E">
      <w:pPr>
        <w:pStyle w:val="Heading2"/>
      </w:pPr>
      <w:r>
        <w:rPr>
          <w:color w:val="003366"/>
        </w:rPr>
        <w:t>Bibliography:</w:t>
      </w:r>
    </w:p>
    <w:p w14:paraId="2FF49F09" w14:textId="77777777" w:rsidR="00C510B4" w:rsidRDefault="00C510B4" w:rsidP="00C510B4"/>
    <w:p w14:paraId="55E632C7" w14:textId="3CE81EDB" w:rsidR="00C510B4" w:rsidRDefault="00C510B4" w:rsidP="00C510B4">
      <w:pPr>
        <w:pStyle w:val="ListParagraph"/>
        <w:numPr>
          <w:ilvl w:val="0"/>
          <w:numId w:val="10"/>
        </w:numPr>
      </w:pPr>
      <w:proofErr w:type="spellStart"/>
      <w:r>
        <w:t>Drovandi</w:t>
      </w:r>
      <w:proofErr w:type="spellEnd"/>
      <w:r>
        <w:t xml:space="preserve">, C. C., Holmes, C., McGree, J. M., Mengersen, K., Richardson, S., &amp; Ryan, E. G. (2017). Principles of experimental design for big data analysis. </w:t>
      </w:r>
      <w:r w:rsidRPr="00C510B4">
        <w:rPr>
          <w:i/>
          <w:iCs/>
        </w:rPr>
        <w:t>Statistical science: a review journal of the Institute of Mathematical Statistics</w:t>
      </w:r>
      <w:r>
        <w:t>, 32(3), 385.</w:t>
      </w:r>
    </w:p>
    <w:p w14:paraId="6B21BD1B" w14:textId="77777777" w:rsidR="00C510B4" w:rsidRDefault="00C510B4" w:rsidP="00C510B4">
      <w:pPr>
        <w:pStyle w:val="ListParagraph"/>
        <w:numPr>
          <w:ilvl w:val="0"/>
          <w:numId w:val="10"/>
        </w:numPr>
      </w:pPr>
      <w:r>
        <w:t xml:space="preserve">Marini, G. (2024). Brexit and the war for talents: Push &amp; pull evidence about competitiveness. </w:t>
      </w:r>
      <w:r w:rsidRPr="00C510B4">
        <w:rPr>
          <w:i/>
          <w:iCs/>
        </w:rPr>
        <w:t>Higher Education</w:t>
      </w:r>
      <w:r>
        <w:t>, 1-16.</w:t>
      </w:r>
    </w:p>
    <w:p w14:paraId="35117102" w14:textId="77777777" w:rsidR="00C510B4" w:rsidRDefault="00C510B4" w:rsidP="00C510B4">
      <w:pPr>
        <w:pStyle w:val="ListParagraph"/>
        <w:numPr>
          <w:ilvl w:val="0"/>
          <w:numId w:val="10"/>
        </w:numPr>
      </w:pPr>
      <w:r>
        <w:t xml:space="preserve">Marini, G., &amp; </w:t>
      </w:r>
      <w:proofErr w:type="spellStart"/>
      <w:r>
        <w:t>Henseke</w:t>
      </w:r>
      <w:proofErr w:type="spellEnd"/>
      <w:r>
        <w:t xml:space="preserve">, G. (2023). Is a PhD worth more than a Master’s in the UK </w:t>
      </w:r>
      <w:proofErr w:type="spellStart"/>
      <w:r>
        <w:t>labour</w:t>
      </w:r>
      <w:proofErr w:type="spellEnd"/>
      <w:r>
        <w:t xml:space="preserve"> market? The role of </w:t>
      </w:r>
      <w:proofErr w:type="spellStart"/>
      <w:r>
        <w:t>specialisation</w:t>
      </w:r>
      <w:proofErr w:type="spellEnd"/>
      <w:r>
        <w:t xml:space="preserve"> and managerial position. </w:t>
      </w:r>
      <w:r w:rsidRPr="00C510B4">
        <w:rPr>
          <w:i/>
          <w:iCs/>
        </w:rPr>
        <w:t>Studies in Higher Education</w:t>
      </w:r>
      <w:r>
        <w:t>, 48(10), 1538-1550.</w:t>
      </w:r>
    </w:p>
    <w:p w14:paraId="7B9FABDC" w14:textId="77777777" w:rsidR="00C510B4" w:rsidRDefault="00C510B4" w:rsidP="00C510B4">
      <w:pPr>
        <w:pStyle w:val="ListParagraph"/>
        <w:numPr>
          <w:ilvl w:val="0"/>
          <w:numId w:val="10"/>
        </w:numPr>
      </w:pPr>
      <w:r>
        <w:t xml:space="preserve">Meschitti, V., &amp; Marini, G. (2023). The balance between status quo and change when minorities try to access top ranks: a tale about women achieving professorship. </w:t>
      </w:r>
      <w:r w:rsidRPr="00C510B4">
        <w:rPr>
          <w:i/>
          <w:iCs/>
        </w:rPr>
        <w:t>Gender in Management: An International Journal</w:t>
      </w:r>
      <w:r>
        <w:t>, 38(1), 17-35.</w:t>
      </w:r>
    </w:p>
    <w:p w14:paraId="55420C29" w14:textId="77777777" w:rsidR="00C510B4" w:rsidRDefault="00C510B4" w:rsidP="00C510B4">
      <w:pPr>
        <w:pStyle w:val="ListParagraph"/>
        <w:numPr>
          <w:ilvl w:val="0"/>
          <w:numId w:val="10"/>
        </w:numPr>
      </w:pPr>
      <w:r>
        <w:t xml:space="preserve">Marini, G., &amp; Meschitti, V. (2018). The trench warfare of gender discrimination: evidence from academic promotions to full professor in Italy. </w:t>
      </w:r>
      <w:proofErr w:type="spellStart"/>
      <w:r w:rsidRPr="00C510B4">
        <w:rPr>
          <w:i/>
          <w:iCs/>
        </w:rPr>
        <w:t>Scientometrics</w:t>
      </w:r>
      <w:proofErr w:type="spellEnd"/>
      <w:r>
        <w:t>, 115(2), 989-1006.</w:t>
      </w:r>
    </w:p>
    <w:p w14:paraId="6B524644" w14:textId="77777777" w:rsidR="00C510B4" w:rsidRDefault="00C510B4" w:rsidP="00C510B4">
      <w:pPr>
        <w:pStyle w:val="ListParagraph"/>
        <w:numPr>
          <w:ilvl w:val="0"/>
          <w:numId w:val="10"/>
        </w:numPr>
      </w:pPr>
      <w:r>
        <w:t xml:space="preserve">Marini, G. (2017). New promotion patterns in Italian universities: Less seniority and more productivity? Data from ASN. </w:t>
      </w:r>
      <w:r w:rsidRPr="00C510B4">
        <w:rPr>
          <w:i/>
          <w:iCs/>
        </w:rPr>
        <w:t>Higher Education</w:t>
      </w:r>
      <w:r>
        <w:t>, 73, 189-205.</w:t>
      </w:r>
    </w:p>
    <w:p w14:paraId="53982A47" w14:textId="12F6E9C3" w:rsidR="00C510B4" w:rsidRPr="00C510B4" w:rsidRDefault="00C510B4" w:rsidP="00C510B4">
      <w:pPr>
        <w:pStyle w:val="ListParagraph"/>
        <w:numPr>
          <w:ilvl w:val="0"/>
          <w:numId w:val="10"/>
        </w:numPr>
      </w:pPr>
      <w:r>
        <w:t>Marini, G. (20</w:t>
      </w:r>
      <w:r>
        <w:t>25</w:t>
      </w:r>
      <w:r>
        <w:t>).</w:t>
      </w:r>
      <w:r>
        <w:t xml:space="preserve"> </w:t>
      </w:r>
      <w:r w:rsidRPr="00C510B4">
        <w:t>Rubbing salt in the wound of gender discrimination. A worldwide analysis of effectiveness of gender equality plans among post-doctoral researchers</w:t>
      </w:r>
      <w:r>
        <w:t xml:space="preserve">. </w:t>
      </w:r>
      <w:r w:rsidRPr="00C510B4">
        <w:rPr>
          <w:i/>
          <w:iCs/>
        </w:rPr>
        <w:t xml:space="preserve">Equality, Diversity and Inclusion </w:t>
      </w:r>
      <w:r>
        <w:t>– in production</w:t>
      </w:r>
    </w:p>
    <w:p w14:paraId="6B5C4C0F" w14:textId="77777777" w:rsidR="00C510B4" w:rsidRDefault="00C510B4" w:rsidP="00C510B4"/>
    <w:p w14:paraId="2AC3BCCC" w14:textId="77777777" w:rsidR="00AA2C2D" w:rsidRDefault="00E85F5E">
      <w:pPr>
        <w:pStyle w:val="Heading2"/>
      </w:pPr>
      <w:r>
        <w:rPr>
          <w:color w:val="003366"/>
        </w:rPr>
        <w:lastRenderedPageBreak/>
        <w:t>Preferred Bimester:</w:t>
      </w:r>
    </w:p>
    <w:p w14:paraId="322E9688" w14:textId="0B8F058F" w:rsidR="00AA2C2D" w:rsidRDefault="00E85F5E">
      <w:r>
        <w:t xml:space="preserve">Select one: November–December / March–April </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E8009D"/>
    <w:multiLevelType w:val="hybridMultilevel"/>
    <w:tmpl w:val="8294DC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0316685">
    <w:abstractNumId w:val="8"/>
  </w:num>
  <w:num w:numId="2" w16cid:durableId="1468007031">
    <w:abstractNumId w:val="6"/>
  </w:num>
  <w:num w:numId="3" w16cid:durableId="211119464">
    <w:abstractNumId w:val="5"/>
  </w:num>
  <w:num w:numId="4" w16cid:durableId="61032107">
    <w:abstractNumId w:val="4"/>
  </w:num>
  <w:num w:numId="5" w16cid:durableId="772362717">
    <w:abstractNumId w:val="7"/>
  </w:num>
  <w:num w:numId="6" w16cid:durableId="389113544">
    <w:abstractNumId w:val="3"/>
  </w:num>
  <w:num w:numId="7" w16cid:durableId="2014139124">
    <w:abstractNumId w:val="2"/>
  </w:num>
  <w:num w:numId="8" w16cid:durableId="1050107663">
    <w:abstractNumId w:val="1"/>
  </w:num>
  <w:num w:numId="9" w16cid:durableId="1404379185">
    <w:abstractNumId w:val="0"/>
  </w:num>
  <w:num w:numId="10" w16cid:durableId="2114550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3CCD"/>
    <w:rsid w:val="0029639D"/>
    <w:rsid w:val="00326F90"/>
    <w:rsid w:val="00AA1D8D"/>
    <w:rsid w:val="00AA2C2D"/>
    <w:rsid w:val="00B47730"/>
    <w:rsid w:val="00C510B4"/>
    <w:rsid w:val="00CB0664"/>
    <w:rsid w:val="00CE5607"/>
    <w:rsid w:val="00D037C8"/>
    <w:rsid w:val="00E85F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40A84"/>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10B4"/>
    <w:rPr>
      <w:color w:val="0000FF" w:themeColor="hyperlink"/>
      <w:u w:val="single"/>
    </w:rPr>
  </w:style>
  <w:style w:type="character" w:styleId="UnresolvedMention">
    <w:name w:val="Unresolved Mention"/>
    <w:basedOn w:val="DefaultParagraphFont"/>
    <w:uiPriority w:val="99"/>
    <w:semiHidden/>
    <w:unhideWhenUsed/>
    <w:rsid w:val="00C5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ulio.marini@unict.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4623-8302-475F-8D95-EA34106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Viviana Meschitti</cp:lastModifiedBy>
  <cp:revision>4</cp:revision>
  <dcterms:created xsi:type="dcterms:W3CDTF">2013-12-23T23:15:00Z</dcterms:created>
  <dcterms:modified xsi:type="dcterms:W3CDTF">2025-10-06T14:12:00Z</dcterms:modified>
  <cp:category/>
</cp:coreProperties>
</file>