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7439" w14:textId="77777777" w:rsidR="00AA2C2D" w:rsidRDefault="00E85F5E">
      <w:pPr>
        <w:pStyle w:val="Titolo1"/>
      </w:pPr>
      <w:r>
        <w:rPr>
          <w:color w:val="003366"/>
        </w:rPr>
        <w:t>Syllabus – PhD Course Proposal</w:t>
      </w:r>
    </w:p>
    <w:p w14:paraId="51186C13" w14:textId="77777777" w:rsidR="00AA2C2D" w:rsidRDefault="00E85F5E">
      <w:pPr>
        <w:pStyle w:val="Titolo2"/>
      </w:pPr>
      <w:r>
        <w:rPr>
          <w:color w:val="003366"/>
        </w:rPr>
        <w:t>Course Title:</w:t>
      </w:r>
    </w:p>
    <w:p w14:paraId="30F6E5AD" w14:textId="77777777" w:rsidR="00AA2C2D" w:rsidRDefault="00022E7D">
      <w:r>
        <w:t>Behavioral economics and strategic decision</w:t>
      </w:r>
      <w:r w:rsidR="002F1FFD">
        <w:t>s</w:t>
      </w:r>
      <w:r>
        <w:t xml:space="preserve"> </w:t>
      </w:r>
    </w:p>
    <w:p w14:paraId="0AD5F059" w14:textId="77777777" w:rsidR="00AA2C2D" w:rsidRPr="000E0C07" w:rsidRDefault="00E85F5E">
      <w:pPr>
        <w:pStyle w:val="Titolo2"/>
      </w:pPr>
      <w:r w:rsidRPr="000E0C07">
        <w:rPr>
          <w:color w:val="003366"/>
        </w:rPr>
        <w:t>Instructor:</w:t>
      </w:r>
    </w:p>
    <w:p w14:paraId="4C723948" w14:textId="77777777" w:rsidR="00AA2C2D" w:rsidRPr="002F1FFD" w:rsidRDefault="002F1FFD">
      <w:pPr>
        <w:rPr>
          <w:lang w:val="it-IT"/>
        </w:rPr>
      </w:pPr>
      <w:r w:rsidRPr="002F1FFD">
        <w:rPr>
          <w:lang w:val="it-IT"/>
        </w:rPr>
        <w:t xml:space="preserve">Rosaria Distefano </w:t>
      </w:r>
      <w:r w:rsidR="00E85F5E" w:rsidRPr="002F1FFD">
        <w:rPr>
          <w:lang w:val="it-IT"/>
        </w:rPr>
        <w:t xml:space="preserve">– </w:t>
      </w:r>
      <w:r w:rsidRPr="002F1FFD">
        <w:rPr>
          <w:lang w:val="it-IT"/>
        </w:rPr>
        <w:t>Dipartimento di Economia e Impresa</w:t>
      </w:r>
      <w:r w:rsidR="00E85F5E" w:rsidRPr="002F1FFD">
        <w:rPr>
          <w:lang w:val="it-IT"/>
        </w:rPr>
        <w:t xml:space="preserve"> – </w:t>
      </w:r>
      <w:r>
        <w:rPr>
          <w:lang w:val="it-IT"/>
        </w:rPr>
        <w:t>rosaria.distefano@unict.it</w:t>
      </w:r>
    </w:p>
    <w:p w14:paraId="550C6CC6" w14:textId="77777777" w:rsidR="00AA2C2D" w:rsidRDefault="00E85F5E">
      <w:pPr>
        <w:pStyle w:val="Titolo2"/>
      </w:pPr>
      <w:r>
        <w:rPr>
          <w:color w:val="003366"/>
        </w:rPr>
        <w:t>Course Description:</w:t>
      </w:r>
    </w:p>
    <w:p w14:paraId="58B5DE2A" w14:textId="77777777" w:rsidR="008544E7" w:rsidRPr="003C6BC7" w:rsidRDefault="008544E7" w:rsidP="008544E7">
      <w:pPr>
        <w:jc w:val="both"/>
      </w:pPr>
      <w:r w:rsidRPr="008544E7">
        <w:t xml:space="preserve">This course provides a theoretical foundation for understanding strategic behavior in environments characterized by asymmetric information. </w:t>
      </w:r>
      <w:r>
        <w:t>The</w:t>
      </w:r>
      <w:r w:rsidRPr="008544E7">
        <w:t xml:space="preserve"> main goal is to integrate behavioral insights into formal economic modeling, extending classical approaches to account for interpersonal preferences, social motivations, and biased beliefs. Students will examine how these factors influence contract design, incentive systems, and organizational dynamics.</w:t>
      </w:r>
      <w:r>
        <w:t xml:space="preserve"> </w:t>
      </w:r>
      <w:r w:rsidRPr="008544E7">
        <w:t>The course offers analytical tools for studying decision processes and strategic interactions in labor and consumption markets</w:t>
      </w:r>
      <w:r w:rsidR="009648B1">
        <w:t>, incorporating</w:t>
      </w:r>
      <w:r w:rsidRPr="008544E7">
        <w:t xml:space="preserve"> psychological and social dimensions of behavior. Students will acquire advanced skills in microeconomic modeling, equilibrium analysis, and mechanism design, as well as the ability to critically evaluate theoretical contributions in behavioral and information economics.</w:t>
      </w:r>
    </w:p>
    <w:p w14:paraId="5418E339" w14:textId="77777777" w:rsidR="00AA2C2D" w:rsidRDefault="00E85F5E">
      <w:pPr>
        <w:pStyle w:val="Titolo2"/>
      </w:pPr>
      <w:r>
        <w:rPr>
          <w:color w:val="003366"/>
        </w:rPr>
        <w:t>Learning Outcomes:</w:t>
      </w:r>
    </w:p>
    <w:p w14:paraId="59D1E61C" w14:textId="77777777" w:rsidR="00AA2C2D" w:rsidRDefault="00E85F5E">
      <w:r>
        <w:t>At the end of the course, students will be able to:</w:t>
      </w:r>
    </w:p>
    <w:p w14:paraId="6475A94B" w14:textId="77777777" w:rsidR="00AA2C2D" w:rsidRDefault="00E85F5E">
      <w:r>
        <w:t xml:space="preserve">1. </w:t>
      </w:r>
      <w:r w:rsidR="00CD3324">
        <w:t xml:space="preserve">Develop </w:t>
      </w:r>
      <w:r w:rsidR="00CD3324" w:rsidRPr="008544E7">
        <w:t>microeconomic mode</w:t>
      </w:r>
      <w:r w:rsidR="00CD3324">
        <w:t>ls and derive</w:t>
      </w:r>
      <w:r w:rsidR="00CD3324" w:rsidRPr="008544E7">
        <w:t xml:space="preserve"> equilibrium </w:t>
      </w:r>
      <w:r w:rsidR="00CD3324">
        <w:t>contracts in the presence of asymmetric information;</w:t>
      </w:r>
    </w:p>
    <w:p w14:paraId="10EC9C62" w14:textId="77777777" w:rsidR="00AA2C2D" w:rsidRDefault="00E85F5E">
      <w:r>
        <w:t xml:space="preserve">2. </w:t>
      </w:r>
      <w:r w:rsidR="00CD3324" w:rsidRPr="00CD3324">
        <w:t>Understand and analyze the key mechanisms underlying equilibrium derivations and comparative statics in behavioral and strategic contexts</w:t>
      </w:r>
      <w:r w:rsidR="00CD3324">
        <w:t>;</w:t>
      </w:r>
    </w:p>
    <w:p w14:paraId="603811EC" w14:textId="77777777" w:rsidR="00AA2C2D" w:rsidRDefault="00E85F5E">
      <w:r>
        <w:t xml:space="preserve">3. </w:t>
      </w:r>
      <w:r w:rsidR="00CD3324" w:rsidRPr="00CD3324">
        <w:t>Integrate interpersonal preferences, social motivations, and belief distortions into formal models of incentives and decision-making.</w:t>
      </w:r>
    </w:p>
    <w:p w14:paraId="62147F05" w14:textId="77777777" w:rsidR="00AA2C2D" w:rsidRDefault="00E85F5E">
      <w:pPr>
        <w:pStyle w:val="Titolo2"/>
      </w:pPr>
      <w:r>
        <w:rPr>
          <w:color w:val="003366"/>
        </w:rPr>
        <w:t>Prerequisites:</w:t>
      </w:r>
    </w:p>
    <w:p w14:paraId="4759DF6C" w14:textId="77777777" w:rsidR="0010620A" w:rsidRDefault="00C17F87" w:rsidP="00BA42D5">
      <w:pPr>
        <w:jc w:val="both"/>
      </w:pPr>
      <w:r w:rsidRPr="00C17F87">
        <w:t xml:space="preserve">Students are expected to have </w:t>
      </w:r>
      <w:r w:rsidRPr="0010620A">
        <w:t xml:space="preserve">a </w:t>
      </w:r>
      <w:r w:rsidRPr="0010620A">
        <w:rPr>
          <w:bCs/>
        </w:rPr>
        <w:t>strong background</w:t>
      </w:r>
      <w:r w:rsidRPr="00C17F87">
        <w:t xml:space="preserve"> in microeconomic theory, particularly in consumer and firm behavior and in game theory. Familiarity with the economics of information</w:t>
      </w:r>
      <w:r w:rsidR="00150CBB">
        <w:t xml:space="preserve">, </w:t>
      </w:r>
      <w:r w:rsidRPr="00C17F87">
        <w:t>including concepts such as adverse selection and moral hazard</w:t>
      </w:r>
      <w:r w:rsidR="00150CBB">
        <w:t xml:space="preserve">, </w:t>
      </w:r>
      <w:r w:rsidRPr="00C17F87">
        <w:t>as well as with mathematical and analytical tools such as optimization, constrained maximization, and basic probability theory, is essential for understanding equilibrium derivations.</w:t>
      </w:r>
    </w:p>
    <w:p w14:paraId="5DDD0EB2" w14:textId="77777777" w:rsidR="00AA2C2D" w:rsidRDefault="00E85F5E">
      <w:pPr>
        <w:pStyle w:val="Titolo2"/>
      </w:pPr>
      <w:r>
        <w:rPr>
          <w:color w:val="003366"/>
        </w:rPr>
        <w:t>Course Structure and Schedule (15 hours):</w:t>
      </w:r>
    </w:p>
    <w:tbl>
      <w:tblPr>
        <w:tblStyle w:val="Grigliatabella"/>
        <w:tblW w:w="8985" w:type="dxa"/>
        <w:tblLook w:val="04A0" w:firstRow="1" w:lastRow="0" w:firstColumn="1" w:lastColumn="0" w:noHBand="0" w:noVBand="1"/>
      </w:tblPr>
      <w:tblGrid>
        <w:gridCol w:w="2995"/>
        <w:gridCol w:w="2995"/>
        <w:gridCol w:w="2995"/>
      </w:tblGrid>
      <w:tr w:rsidR="00AA2C2D" w14:paraId="6D84411F" w14:textId="77777777" w:rsidTr="009B141D">
        <w:trPr>
          <w:trHeight w:val="255"/>
        </w:trPr>
        <w:tc>
          <w:tcPr>
            <w:tcW w:w="2995" w:type="dxa"/>
          </w:tcPr>
          <w:p w14:paraId="0489A20D" w14:textId="77777777" w:rsidR="00AA2C2D" w:rsidRDefault="00E85F5E">
            <w:r>
              <w:t>Session</w:t>
            </w:r>
          </w:p>
        </w:tc>
        <w:tc>
          <w:tcPr>
            <w:tcW w:w="2995" w:type="dxa"/>
          </w:tcPr>
          <w:p w14:paraId="2F1A88F7" w14:textId="77777777" w:rsidR="00AA2C2D" w:rsidRDefault="00E85F5E">
            <w:r>
              <w:t>Topic</w:t>
            </w:r>
          </w:p>
        </w:tc>
        <w:tc>
          <w:tcPr>
            <w:tcW w:w="2995" w:type="dxa"/>
          </w:tcPr>
          <w:p w14:paraId="28054712" w14:textId="77777777" w:rsidR="00AA2C2D" w:rsidRDefault="00E85F5E">
            <w:r>
              <w:t>Key Readings</w:t>
            </w:r>
          </w:p>
        </w:tc>
      </w:tr>
      <w:tr w:rsidR="00AA2C2D" w14:paraId="3AD43930" w14:textId="77777777" w:rsidTr="009B141D">
        <w:trPr>
          <w:trHeight w:val="520"/>
        </w:trPr>
        <w:tc>
          <w:tcPr>
            <w:tcW w:w="2995" w:type="dxa"/>
          </w:tcPr>
          <w:p w14:paraId="05C33C53" w14:textId="77777777" w:rsidR="00AA2C2D" w:rsidRDefault="00E85F5E">
            <w:r>
              <w:t>1</w:t>
            </w:r>
          </w:p>
        </w:tc>
        <w:tc>
          <w:tcPr>
            <w:tcW w:w="2995" w:type="dxa"/>
          </w:tcPr>
          <w:p w14:paraId="2DEDEB95" w14:textId="77777777" w:rsidR="00AA2C2D" w:rsidRDefault="009B141D">
            <w:r>
              <w:t>Incentive design</w:t>
            </w:r>
          </w:p>
        </w:tc>
        <w:tc>
          <w:tcPr>
            <w:tcW w:w="2995" w:type="dxa"/>
          </w:tcPr>
          <w:p w14:paraId="1B738C25" w14:textId="77777777" w:rsidR="00AA2C2D" w:rsidRDefault="00A75D45">
            <w:proofErr w:type="spellStart"/>
            <w:r w:rsidRPr="00A75D45">
              <w:t>Laffont</w:t>
            </w:r>
            <w:proofErr w:type="spellEnd"/>
            <w:r w:rsidRPr="00A75D45">
              <w:t xml:space="preserve">, J., </w:t>
            </w:r>
            <w:proofErr w:type="spellStart"/>
            <w:r w:rsidRPr="00A75D45">
              <w:t>Martimort</w:t>
            </w:r>
            <w:proofErr w:type="spellEnd"/>
            <w:r w:rsidRPr="00A75D45">
              <w:t>, D. (2002). </w:t>
            </w:r>
            <w:r w:rsidRPr="00A75D45">
              <w:rPr>
                <w:i/>
                <w:iCs/>
              </w:rPr>
              <w:t xml:space="preserve">The theory of </w:t>
            </w:r>
            <w:r w:rsidRPr="00A75D45">
              <w:rPr>
                <w:i/>
                <w:iCs/>
              </w:rPr>
              <w:lastRenderedPageBreak/>
              <w:t>incentives: the principal-agent model</w:t>
            </w:r>
            <w:r w:rsidRPr="00A75D45">
              <w:t>. Princeton university press.</w:t>
            </w:r>
          </w:p>
        </w:tc>
      </w:tr>
      <w:tr w:rsidR="00AA2C2D" w14:paraId="4F09967F" w14:textId="77777777" w:rsidTr="009B141D">
        <w:trPr>
          <w:trHeight w:val="255"/>
        </w:trPr>
        <w:tc>
          <w:tcPr>
            <w:tcW w:w="2995" w:type="dxa"/>
          </w:tcPr>
          <w:p w14:paraId="7AA2C6CB" w14:textId="77777777" w:rsidR="00AA2C2D" w:rsidRDefault="00E85F5E">
            <w:r>
              <w:lastRenderedPageBreak/>
              <w:t>2</w:t>
            </w:r>
          </w:p>
        </w:tc>
        <w:tc>
          <w:tcPr>
            <w:tcW w:w="2995" w:type="dxa"/>
          </w:tcPr>
          <w:p w14:paraId="51B14A36" w14:textId="77777777" w:rsidR="00AA2C2D" w:rsidRDefault="009B141D">
            <w:r>
              <w:t>Interpersonal preferences and inequity aversion: tournaments</w:t>
            </w:r>
          </w:p>
        </w:tc>
        <w:tc>
          <w:tcPr>
            <w:tcW w:w="2995" w:type="dxa"/>
          </w:tcPr>
          <w:p w14:paraId="1978EC2F" w14:textId="77777777" w:rsidR="00AA2C2D" w:rsidRDefault="009B141D">
            <w:proofErr w:type="spellStart"/>
            <w:r w:rsidRPr="009B141D">
              <w:t>Demougin</w:t>
            </w:r>
            <w:proofErr w:type="spellEnd"/>
            <w:r w:rsidRPr="009B141D">
              <w:t xml:space="preserve">, D., </w:t>
            </w:r>
            <w:proofErr w:type="spellStart"/>
            <w:r w:rsidRPr="009B141D">
              <w:t>Fluet</w:t>
            </w:r>
            <w:proofErr w:type="spellEnd"/>
            <w:r w:rsidRPr="009B141D">
              <w:t>, C. (2003). Inequity aversion in tournaments.</w:t>
            </w:r>
          </w:p>
        </w:tc>
      </w:tr>
      <w:tr w:rsidR="00AA2C2D" w14:paraId="6FD9E372" w14:textId="77777777" w:rsidTr="009B141D">
        <w:trPr>
          <w:trHeight w:val="264"/>
        </w:trPr>
        <w:tc>
          <w:tcPr>
            <w:tcW w:w="2995" w:type="dxa"/>
          </w:tcPr>
          <w:p w14:paraId="3DDF74A8" w14:textId="77777777" w:rsidR="00AA2C2D" w:rsidRDefault="00E85F5E">
            <w:r>
              <w:t>3</w:t>
            </w:r>
          </w:p>
        </w:tc>
        <w:tc>
          <w:tcPr>
            <w:tcW w:w="2995" w:type="dxa"/>
          </w:tcPr>
          <w:p w14:paraId="408B27CC" w14:textId="77777777" w:rsidR="00AA2C2D" w:rsidRDefault="009B141D">
            <w:r>
              <w:t>Interpersonal preferences and inequity aversion: Separating and pooling contracts</w:t>
            </w:r>
          </w:p>
        </w:tc>
        <w:tc>
          <w:tcPr>
            <w:tcW w:w="2995" w:type="dxa"/>
          </w:tcPr>
          <w:p w14:paraId="3582A3FD" w14:textId="77777777" w:rsidR="00AA2C2D" w:rsidRDefault="009B141D">
            <w:r w:rsidRPr="009B141D">
              <w:t>Von Siemens, F. (2012). Social preferences, sorting, and competition. </w:t>
            </w:r>
            <w:r w:rsidRPr="009B141D">
              <w:rPr>
                <w:i/>
                <w:iCs/>
              </w:rPr>
              <w:t xml:space="preserve"> Scandinavian Journal of Economics</w:t>
            </w:r>
            <w:r w:rsidRPr="009B141D">
              <w:t>, </w:t>
            </w:r>
            <w:r w:rsidRPr="009B141D">
              <w:rPr>
                <w:i/>
                <w:iCs/>
              </w:rPr>
              <w:t>114</w:t>
            </w:r>
            <w:r w:rsidRPr="009B141D">
              <w:t>(3), 780-807.</w:t>
            </w:r>
          </w:p>
        </w:tc>
      </w:tr>
      <w:tr w:rsidR="00AA2C2D" w14:paraId="3E0E0BBB" w14:textId="77777777" w:rsidTr="009B141D">
        <w:trPr>
          <w:trHeight w:val="1032"/>
        </w:trPr>
        <w:tc>
          <w:tcPr>
            <w:tcW w:w="2995" w:type="dxa"/>
          </w:tcPr>
          <w:p w14:paraId="14F771A5" w14:textId="77777777" w:rsidR="00AA2C2D" w:rsidRDefault="00E85F5E">
            <w:r>
              <w:t>4</w:t>
            </w:r>
          </w:p>
        </w:tc>
        <w:tc>
          <w:tcPr>
            <w:tcW w:w="2995" w:type="dxa"/>
          </w:tcPr>
          <w:p w14:paraId="73CF89B3" w14:textId="77777777" w:rsidR="00AA2C2D" w:rsidRDefault="009B141D">
            <w:r>
              <w:t>C</w:t>
            </w:r>
            <w:r w:rsidRPr="009B141D">
              <w:t xml:space="preserve">onsumer </w:t>
            </w:r>
            <w:r>
              <w:t>misperceptions and shrouded prices</w:t>
            </w:r>
          </w:p>
        </w:tc>
        <w:tc>
          <w:tcPr>
            <w:tcW w:w="2995" w:type="dxa"/>
          </w:tcPr>
          <w:p w14:paraId="7BE29228" w14:textId="77777777" w:rsidR="00AA2C2D" w:rsidRDefault="009B141D">
            <w:proofErr w:type="spellStart"/>
            <w:r w:rsidRPr="009B141D">
              <w:t>Gabaix</w:t>
            </w:r>
            <w:proofErr w:type="spellEnd"/>
            <w:r w:rsidRPr="009B141D">
              <w:t xml:space="preserve">, Xavier, and David </w:t>
            </w:r>
            <w:proofErr w:type="spellStart"/>
            <w:r w:rsidRPr="009B141D">
              <w:t>Laibson</w:t>
            </w:r>
            <w:proofErr w:type="spellEnd"/>
            <w:r w:rsidRPr="009B141D">
              <w:t>. "Shrouded attributes, consumer myopia, and information suppression in competitive markets."  Quarterly Journal of Economics 121.2 (2006): 505-540.</w:t>
            </w:r>
          </w:p>
        </w:tc>
      </w:tr>
      <w:tr w:rsidR="00AA2C2D" w14:paraId="7F9AEBB0" w14:textId="77777777" w:rsidTr="009B141D">
        <w:trPr>
          <w:trHeight w:val="3627"/>
        </w:trPr>
        <w:tc>
          <w:tcPr>
            <w:tcW w:w="2995" w:type="dxa"/>
          </w:tcPr>
          <w:p w14:paraId="3BE4E0DF" w14:textId="77777777" w:rsidR="00AA2C2D" w:rsidRDefault="00E85F5E">
            <w:r>
              <w:t>5</w:t>
            </w:r>
          </w:p>
        </w:tc>
        <w:tc>
          <w:tcPr>
            <w:tcW w:w="2995" w:type="dxa"/>
          </w:tcPr>
          <w:p w14:paraId="56939FFB" w14:textId="77777777" w:rsidR="00AA2C2D" w:rsidRDefault="009B141D">
            <w:r>
              <w:t>Firms’ profitable deception</w:t>
            </w:r>
          </w:p>
        </w:tc>
        <w:tc>
          <w:tcPr>
            <w:tcW w:w="2995" w:type="dxa"/>
          </w:tcPr>
          <w:p w14:paraId="786D3945" w14:textId="77777777" w:rsidR="00AA2C2D" w:rsidRDefault="009B141D">
            <w:proofErr w:type="spellStart"/>
            <w:r w:rsidRPr="009B141D">
              <w:t>Heidhues</w:t>
            </w:r>
            <w:proofErr w:type="spellEnd"/>
            <w:r w:rsidRPr="009B141D">
              <w:t xml:space="preserve">, P., </w:t>
            </w:r>
            <w:proofErr w:type="spellStart"/>
            <w:r w:rsidRPr="009B141D">
              <w:t>Kőszegi</w:t>
            </w:r>
            <w:proofErr w:type="spellEnd"/>
            <w:r w:rsidRPr="009B141D">
              <w:t>, B.,</w:t>
            </w:r>
            <w:r>
              <w:t xml:space="preserve"> </w:t>
            </w:r>
            <w:proofErr w:type="spellStart"/>
            <w:r w:rsidRPr="009B141D">
              <w:t>Murooka</w:t>
            </w:r>
            <w:proofErr w:type="spellEnd"/>
            <w:r w:rsidRPr="009B141D">
              <w:t>, T. (2016). Inferior products and profitable deception. Review of Economic Studies, 84</w:t>
            </w:r>
            <w:r>
              <w:t>,</w:t>
            </w:r>
            <w:r w:rsidRPr="009B141D">
              <w:t xml:space="preserve"> 323-356.</w:t>
            </w:r>
          </w:p>
          <w:p w14:paraId="113B0B26" w14:textId="77777777" w:rsidR="009B141D" w:rsidRDefault="009B141D"/>
          <w:p w14:paraId="212766AE" w14:textId="77777777" w:rsidR="009B141D" w:rsidRPr="009B141D" w:rsidRDefault="009B141D">
            <w:pPr>
              <w:rPr>
                <w:rFonts w:asciiTheme="majorHAnsi" w:hAnsiTheme="majorHAnsi" w:cstheme="majorHAnsi"/>
              </w:rPr>
            </w:pPr>
            <w:proofErr w:type="spellStart"/>
            <w:r w:rsidRPr="009B141D">
              <w:t>Heidhues</w:t>
            </w:r>
            <w:proofErr w:type="spellEnd"/>
            <w:r w:rsidRPr="009B141D">
              <w:t xml:space="preserve">, P., </w:t>
            </w:r>
            <w:proofErr w:type="spellStart"/>
            <w:r w:rsidRPr="009B141D">
              <w:t>Kőszegi</w:t>
            </w:r>
            <w:proofErr w:type="spellEnd"/>
            <w:r w:rsidRPr="009B141D">
              <w:t>, B. (2018). Behavioral industrial organization. Handbook of Behavioral Economics: Applications and Foundations 1, 1, 517-612.</w:t>
            </w:r>
          </w:p>
        </w:tc>
      </w:tr>
    </w:tbl>
    <w:p w14:paraId="7550ADE7" w14:textId="77777777" w:rsidR="00AA2C2D" w:rsidRDefault="00E85F5E">
      <w:pPr>
        <w:pStyle w:val="Titolo2"/>
      </w:pPr>
      <w:r>
        <w:rPr>
          <w:color w:val="003366"/>
        </w:rPr>
        <w:t>Teaching Methods:</w:t>
      </w:r>
    </w:p>
    <w:p w14:paraId="332C7792" w14:textId="77777777" w:rsidR="00AA2C2D" w:rsidRDefault="002F1FFD">
      <w:r>
        <w:t>Frontal l</w:t>
      </w:r>
      <w:r w:rsidR="00E85F5E">
        <w:t>ectures</w:t>
      </w:r>
      <w:r>
        <w:t xml:space="preserve"> and </w:t>
      </w:r>
      <w:r w:rsidR="00E85F5E">
        <w:t>discussions.</w:t>
      </w:r>
    </w:p>
    <w:p w14:paraId="4BF3F13B" w14:textId="77777777" w:rsidR="00AA2C2D" w:rsidRDefault="00E85F5E">
      <w:pPr>
        <w:pStyle w:val="Titolo2"/>
      </w:pPr>
      <w:r>
        <w:rPr>
          <w:color w:val="003366"/>
        </w:rPr>
        <w:t>Assessment:</w:t>
      </w:r>
    </w:p>
    <w:p w14:paraId="687A526D" w14:textId="77777777" w:rsidR="00AA2C2D" w:rsidRDefault="002F1FFD">
      <w:r>
        <w:t>Presentation.</w:t>
      </w:r>
    </w:p>
    <w:p w14:paraId="37B91250" w14:textId="77777777" w:rsidR="00AA2C2D" w:rsidRDefault="00E85F5E">
      <w:pPr>
        <w:pStyle w:val="Titolo2"/>
      </w:pPr>
      <w:r>
        <w:rPr>
          <w:color w:val="003366"/>
        </w:rPr>
        <w:t>Bibliography:</w:t>
      </w:r>
    </w:p>
    <w:tbl>
      <w:tblPr>
        <w:tblStyle w:val="Grigliatabella"/>
        <w:tblW w:w="9530" w:type="dxa"/>
        <w:tblLook w:val="04A0" w:firstRow="1" w:lastRow="0" w:firstColumn="1" w:lastColumn="0" w:noHBand="0" w:noVBand="1"/>
      </w:tblPr>
      <w:tblGrid>
        <w:gridCol w:w="9530"/>
      </w:tblGrid>
      <w:tr w:rsidR="00A75D45" w14:paraId="74196982" w14:textId="77777777" w:rsidTr="00A75D45">
        <w:trPr>
          <w:trHeight w:val="259"/>
        </w:trPr>
        <w:tc>
          <w:tcPr>
            <w:tcW w:w="9530" w:type="dxa"/>
          </w:tcPr>
          <w:p w14:paraId="5200646C" w14:textId="77777777" w:rsidR="00A75D45" w:rsidRDefault="00A75D45" w:rsidP="002416FE">
            <w:proofErr w:type="spellStart"/>
            <w:r w:rsidRPr="00A75D45">
              <w:t>Laffont</w:t>
            </w:r>
            <w:proofErr w:type="spellEnd"/>
            <w:r w:rsidRPr="00A75D45">
              <w:t xml:space="preserve">, J., </w:t>
            </w:r>
            <w:proofErr w:type="spellStart"/>
            <w:r w:rsidRPr="00A75D45">
              <w:t>Martimort</w:t>
            </w:r>
            <w:proofErr w:type="spellEnd"/>
            <w:r w:rsidRPr="00A75D45">
              <w:t>, D. (2002). </w:t>
            </w:r>
            <w:r w:rsidRPr="00A75D45">
              <w:rPr>
                <w:i/>
                <w:iCs/>
              </w:rPr>
              <w:t>The theory of incentives: the principal-agent model</w:t>
            </w:r>
            <w:r w:rsidRPr="00A75D45">
              <w:t>. Princeton university press.</w:t>
            </w:r>
          </w:p>
        </w:tc>
      </w:tr>
      <w:tr w:rsidR="00A75D45" w14:paraId="094B51A5" w14:textId="77777777" w:rsidTr="00A75D45">
        <w:trPr>
          <w:trHeight w:val="127"/>
        </w:trPr>
        <w:tc>
          <w:tcPr>
            <w:tcW w:w="9530" w:type="dxa"/>
          </w:tcPr>
          <w:p w14:paraId="0DF19E1C" w14:textId="77777777" w:rsidR="00A75D45" w:rsidRDefault="00A75D45" w:rsidP="002416FE">
            <w:proofErr w:type="spellStart"/>
            <w:r w:rsidRPr="009B141D">
              <w:t>Demougin</w:t>
            </w:r>
            <w:proofErr w:type="spellEnd"/>
            <w:r w:rsidRPr="009B141D">
              <w:t xml:space="preserve">, D., </w:t>
            </w:r>
            <w:proofErr w:type="spellStart"/>
            <w:r w:rsidRPr="009B141D">
              <w:t>Fluet</w:t>
            </w:r>
            <w:proofErr w:type="spellEnd"/>
            <w:r w:rsidRPr="009B141D">
              <w:t>, C. (2003). Inequity aversion in tournaments.</w:t>
            </w:r>
          </w:p>
        </w:tc>
      </w:tr>
      <w:tr w:rsidR="00A75D45" w14:paraId="5DA79776" w14:textId="77777777" w:rsidTr="00A75D45">
        <w:trPr>
          <w:trHeight w:val="131"/>
        </w:trPr>
        <w:tc>
          <w:tcPr>
            <w:tcW w:w="9530" w:type="dxa"/>
          </w:tcPr>
          <w:p w14:paraId="2987E6A2" w14:textId="77777777" w:rsidR="00A75D45" w:rsidRDefault="00A75D45" w:rsidP="002416FE">
            <w:r w:rsidRPr="009B141D">
              <w:t>Von Siemens, F. (2012). Social preferences, sorting, and competition. </w:t>
            </w:r>
            <w:r w:rsidRPr="009B141D">
              <w:rPr>
                <w:i/>
                <w:iCs/>
              </w:rPr>
              <w:t xml:space="preserve"> Scandinavian Journal of Economics</w:t>
            </w:r>
            <w:r w:rsidRPr="009B141D">
              <w:t>, </w:t>
            </w:r>
            <w:r w:rsidRPr="009B141D">
              <w:rPr>
                <w:i/>
                <w:iCs/>
              </w:rPr>
              <w:t>114</w:t>
            </w:r>
            <w:r w:rsidRPr="009B141D">
              <w:t>, 780-807.</w:t>
            </w:r>
          </w:p>
        </w:tc>
      </w:tr>
      <w:tr w:rsidR="00A75D45" w14:paraId="6C4028BD" w14:textId="77777777" w:rsidTr="00A75D45">
        <w:trPr>
          <w:trHeight w:val="515"/>
        </w:trPr>
        <w:tc>
          <w:tcPr>
            <w:tcW w:w="9530" w:type="dxa"/>
          </w:tcPr>
          <w:p w14:paraId="016A7611" w14:textId="77777777" w:rsidR="00A75D45" w:rsidRDefault="00A75D45" w:rsidP="002416FE">
            <w:proofErr w:type="spellStart"/>
            <w:r w:rsidRPr="009B141D">
              <w:lastRenderedPageBreak/>
              <w:t>Gabaix</w:t>
            </w:r>
            <w:proofErr w:type="spellEnd"/>
            <w:r w:rsidRPr="009B141D">
              <w:t>, X</w:t>
            </w:r>
            <w:r>
              <w:t>.</w:t>
            </w:r>
            <w:r w:rsidRPr="009B141D">
              <w:t xml:space="preserve">, </w:t>
            </w:r>
            <w:proofErr w:type="spellStart"/>
            <w:r w:rsidRPr="009B141D">
              <w:t>Laibson</w:t>
            </w:r>
            <w:proofErr w:type="spellEnd"/>
            <w:r>
              <w:t>, D</w:t>
            </w:r>
            <w:r w:rsidRPr="009B141D">
              <w:t>.</w:t>
            </w:r>
            <w:r>
              <w:t xml:space="preserve"> </w:t>
            </w:r>
            <w:r w:rsidRPr="009B141D">
              <w:t>(2006) "Shrouded attributes, consumer myopia, and information suppression in competitive markets."  Quarterly Journal of Economics</w:t>
            </w:r>
            <w:r>
              <w:t>,</w:t>
            </w:r>
            <w:r w:rsidRPr="009B141D">
              <w:t> 121.2: 505-540.</w:t>
            </w:r>
          </w:p>
        </w:tc>
      </w:tr>
      <w:tr w:rsidR="00A75D45" w:rsidRPr="009B141D" w14:paraId="2855CAAF" w14:textId="77777777" w:rsidTr="00A75D45">
        <w:trPr>
          <w:trHeight w:val="1812"/>
        </w:trPr>
        <w:tc>
          <w:tcPr>
            <w:tcW w:w="9530" w:type="dxa"/>
          </w:tcPr>
          <w:p w14:paraId="7467CE33" w14:textId="77777777" w:rsidR="00A75D45" w:rsidRDefault="00A75D45" w:rsidP="002416FE">
            <w:proofErr w:type="spellStart"/>
            <w:r w:rsidRPr="009B141D">
              <w:t>Heidhues</w:t>
            </w:r>
            <w:proofErr w:type="spellEnd"/>
            <w:r w:rsidRPr="009B141D">
              <w:t xml:space="preserve">, P., </w:t>
            </w:r>
            <w:proofErr w:type="spellStart"/>
            <w:r w:rsidRPr="009B141D">
              <w:t>Kőszegi</w:t>
            </w:r>
            <w:proofErr w:type="spellEnd"/>
            <w:r w:rsidRPr="009B141D">
              <w:t>, B.,</w:t>
            </w:r>
            <w:r>
              <w:t xml:space="preserve"> </w:t>
            </w:r>
            <w:proofErr w:type="spellStart"/>
            <w:r w:rsidRPr="009B141D">
              <w:t>Murooka</w:t>
            </w:r>
            <w:proofErr w:type="spellEnd"/>
            <w:r w:rsidRPr="009B141D">
              <w:t>, T. (2016). Inferior products and profitable deception. Review of Economic Studies, 84</w:t>
            </w:r>
            <w:r>
              <w:t>,</w:t>
            </w:r>
            <w:r w:rsidRPr="009B141D">
              <w:t xml:space="preserve"> 323-356.</w:t>
            </w:r>
          </w:p>
          <w:p w14:paraId="4D5E635A" w14:textId="77777777" w:rsidR="00A75D45" w:rsidRDefault="00A75D45" w:rsidP="002416FE"/>
          <w:p w14:paraId="39165208" w14:textId="77777777" w:rsidR="00A75D45" w:rsidRPr="009B141D" w:rsidRDefault="00A75D45" w:rsidP="002416FE">
            <w:pPr>
              <w:rPr>
                <w:rFonts w:asciiTheme="majorHAnsi" w:hAnsiTheme="majorHAnsi" w:cstheme="majorHAnsi"/>
              </w:rPr>
            </w:pPr>
            <w:proofErr w:type="spellStart"/>
            <w:r w:rsidRPr="009B141D">
              <w:t>Heidhues</w:t>
            </w:r>
            <w:proofErr w:type="spellEnd"/>
            <w:r w:rsidRPr="009B141D">
              <w:t xml:space="preserve">, P., </w:t>
            </w:r>
            <w:proofErr w:type="spellStart"/>
            <w:r w:rsidRPr="009B141D">
              <w:t>Kőszegi</w:t>
            </w:r>
            <w:proofErr w:type="spellEnd"/>
            <w:r w:rsidRPr="009B141D">
              <w:t xml:space="preserve">, B. (2018). Behavioral industrial organization. Handbook of Behavioral Economics: Applications and Foundations 1, 1, 517-612. </w:t>
            </w:r>
          </w:p>
        </w:tc>
      </w:tr>
    </w:tbl>
    <w:p w14:paraId="7E4D63E0" w14:textId="77777777" w:rsidR="00AA2C2D" w:rsidRDefault="00E85F5E">
      <w:pPr>
        <w:pStyle w:val="Titolo2"/>
      </w:pPr>
      <w:r>
        <w:rPr>
          <w:color w:val="003366"/>
        </w:rPr>
        <w:t>Preferred Bimester:</w:t>
      </w:r>
    </w:p>
    <w:p w14:paraId="79FD9370" w14:textId="77777777" w:rsidR="00AA2C2D" w:rsidRDefault="00E85F5E">
      <w:r>
        <w:t xml:space="preserve">January–February </w:t>
      </w:r>
    </w:p>
    <w:sectPr w:rsidR="00AA2C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2E7D"/>
    <w:rsid w:val="00034616"/>
    <w:rsid w:val="0006063C"/>
    <w:rsid w:val="000E0C07"/>
    <w:rsid w:val="0010620A"/>
    <w:rsid w:val="0015074B"/>
    <w:rsid w:val="00150CBB"/>
    <w:rsid w:val="0029639D"/>
    <w:rsid w:val="002F1FFD"/>
    <w:rsid w:val="00326F90"/>
    <w:rsid w:val="003C6BC7"/>
    <w:rsid w:val="008544E7"/>
    <w:rsid w:val="009648B1"/>
    <w:rsid w:val="009B141D"/>
    <w:rsid w:val="00A75D45"/>
    <w:rsid w:val="00AA1D8D"/>
    <w:rsid w:val="00AA2C2D"/>
    <w:rsid w:val="00B47730"/>
    <w:rsid w:val="00BA42D5"/>
    <w:rsid w:val="00C17F87"/>
    <w:rsid w:val="00CB0664"/>
    <w:rsid w:val="00CD3324"/>
    <w:rsid w:val="00E85F5E"/>
    <w:rsid w:val="00F44B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9AAECA"/>
  <w14:defaultImageDpi w14:val="300"/>
  <w15:docId w15:val="{8C07AFA3-9ADE-4E45-AA52-4DE88BBD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5D45"/>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69594">
      <w:bodyDiv w:val="1"/>
      <w:marLeft w:val="0"/>
      <w:marRight w:val="0"/>
      <w:marTop w:val="0"/>
      <w:marBottom w:val="0"/>
      <w:divBdr>
        <w:top w:val="none" w:sz="0" w:space="0" w:color="auto"/>
        <w:left w:val="none" w:sz="0" w:space="0" w:color="auto"/>
        <w:bottom w:val="none" w:sz="0" w:space="0" w:color="auto"/>
        <w:right w:val="none" w:sz="0" w:space="0" w:color="auto"/>
      </w:divBdr>
    </w:div>
    <w:div w:id="182326338">
      <w:bodyDiv w:val="1"/>
      <w:marLeft w:val="0"/>
      <w:marRight w:val="0"/>
      <w:marTop w:val="0"/>
      <w:marBottom w:val="0"/>
      <w:divBdr>
        <w:top w:val="none" w:sz="0" w:space="0" w:color="auto"/>
        <w:left w:val="none" w:sz="0" w:space="0" w:color="auto"/>
        <w:bottom w:val="none" w:sz="0" w:space="0" w:color="auto"/>
        <w:right w:val="none" w:sz="0" w:space="0" w:color="auto"/>
      </w:divBdr>
    </w:div>
    <w:div w:id="387150699">
      <w:bodyDiv w:val="1"/>
      <w:marLeft w:val="0"/>
      <w:marRight w:val="0"/>
      <w:marTop w:val="0"/>
      <w:marBottom w:val="0"/>
      <w:divBdr>
        <w:top w:val="none" w:sz="0" w:space="0" w:color="auto"/>
        <w:left w:val="none" w:sz="0" w:space="0" w:color="auto"/>
        <w:bottom w:val="none" w:sz="0" w:space="0" w:color="auto"/>
        <w:right w:val="none" w:sz="0" w:space="0" w:color="auto"/>
      </w:divBdr>
    </w:div>
    <w:div w:id="881330729">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EB46A-0AF7-48A7-9FE2-762955099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3361</Characters>
  <Application>Microsoft Office Word</Application>
  <DocSecurity>0</DocSecurity>
  <Lines>28</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Francesca Spampinato</cp:lastModifiedBy>
  <cp:revision>4</cp:revision>
  <dcterms:created xsi:type="dcterms:W3CDTF">2025-10-17T15:17:00Z</dcterms:created>
  <dcterms:modified xsi:type="dcterms:W3CDTF">2025-10-20T08:59:00Z</dcterms:modified>
  <cp:category/>
</cp:coreProperties>
</file>