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20AD" w14:textId="43CA0FD6" w:rsidR="00AA2C2D" w:rsidRDefault="00E85F5E">
      <w:pPr>
        <w:pStyle w:val="Titolo1"/>
      </w:pPr>
      <w:r>
        <w:rPr>
          <w:color w:val="003366"/>
        </w:rPr>
        <w:t>Syllabus – PhD Course Proposal</w:t>
      </w:r>
      <w:r w:rsidR="005455D3">
        <w:rPr>
          <w:color w:val="003366"/>
        </w:rPr>
        <w:t xml:space="preserve"> a.y. 2025-2026</w:t>
      </w:r>
    </w:p>
    <w:p w14:paraId="58C67FDD" w14:textId="77777777" w:rsidR="00AA2C2D" w:rsidRDefault="00E85F5E">
      <w:pPr>
        <w:pStyle w:val="Titolo2"/>
      </w:pPr>
      <w:r>
        <w:rPr>
          <w:color w:val="003366"/>
        </w:rPr>
        <w:t>Course Title:</w:t>
      </w:r>
    </w:p>
    <w:p w14:paraId="323621AF" w14:textId="77777777" w:rsidR="005455D3" w:rsidRPr="00201011" w:rsidRDefault="005455D3" w:rsidP="005455D3">
      <w:pPr>
        <w:rPr>
          <w:b/>
          <w:bCs/>
          <w:sz w:val="24"/>
          <w:szCs w:val="24"/>
          <w:lang w:val="en-GB"/>
        </w:rPr>
      </w:pPr>
      <w:r w:rsidRPr="00201011">
        <w:rPr>
          <w:b/>
          <w:bCs/>
          <w:sz w:val="24"/>
          <w:szCs w:val="24"/>
          <w:lang w:val="en-GB"/>
        </w:rPr>
        <w:t>TOPICS IN CULTURAL ECONOMICS</w:t>
      </w:r>
    </w:p>
    <w:p w14:paraId="4D261853" w14:textId="39CE6540" w:rsidR="00AA2C2D" w:rsidRDefault="00E85F5E">
      <w:pPr>
        <w:pStyle w:val="Titolo2"/>
      </w:pPr>
      <w:r>
        <w:rPr>
          <w:color w:val="003366"/>
        </w:rPr>
        <w:t>Instructor</w:t>
      </w:r>
      <w:r w:rsidR="005455D3">
        <w:rPr>
          <w:color w:val="003366"/>
        </w:rPr>
        <w:t>s</w:t>
      </w:r>
      <w:r>
        <w:rPr>
          <w:color w:val="003366"/>
        </w:rPr>
        <w:t>:</w:t>
      </w:r>
    </w:p>
    <w:p w14:paraId="6C0B2FB8" w14:textId="77777777" w:rsidR="005455D3" w:rsidRDefault="005455D3">
      <w:r>
        <w:t xml:space="preserve">Tiziana Cuccia, Department of Economics and Business, </w:t>
      </w:r>
      <w:hyperlink r:id="rId6" w:history="1">
        <w:r w:rsidRPr="00333D17">
          <w:rPr>
            <w:rStyle w:val="Collegamentoipertestuale"/>
          </w:rPr>
          <w:t>tiziana.cuccia@unict.it</w:t>
        </w:r>
      </w:hyperlink>
      <w:r>
        <w:t xml:space="preserve"> </w:t>
      </w:r>
    </w:p>
    <w:p w14:paraId="4980012B" w14:textId="27D2C928" w:rsidR="00AA2C2D" w:rsidRDefault="005455D3">
      <w:r>
        <w:t xml:space="preserve">Isidoro Mazza, Department of Economics and Business, </w:t>
      </w:r>
      <w:hyperlink r:id="rId7" w:history="1">
        <w:r w:rsidRPr="00333D17">
          <w:rPr>
            <w:rStyle w:val="Collegamentoipertestuale"/>
          </w:rPr>
          <w:t>imazza@unict.it</w:t>
        </w:r>
      </w:hyperlink>
      <w:r>
        <w:t xml:space="preserve">, </w:t>
      </w:r>
      <w:hyperlink r:id="rId8" w:history="1">
        <w:r w:rsidRPr="00333D17">
          <w:rPr>
            <w:rStyle w:val="Collegamentoipertestuale"/>
          </w:rPr>
          <w:t>isidoro.mazza@gmail.com</w:t>
        </w:r>
      </w:hyperlink>
      <w:r>
        <w:t xml:space="preserve">  </w:t>
      </w:r>
    </w:p>
    <w:p w14:paraId="4EB9A05E" w14:textId="77777777" w:rsidR="00AA2C2D" w:rsidRDefault="00E85F5E">
      <w:pPr>
        <w:pStyle w:val="Titolo2"/>
        <w:rPr>
          <w:color w:val="003366"/>
        </w:rPr>
      </w:pPr>
      <w:r>
        <w:rPr>
          <w:color w:val="003366"/>
        </w:rPr>
        <w:t>Course Description:</w:t>
      </w:r>
    </w:p>
    <w:p w14:paraId="18F5C63E" w14:textId="34DE7FF8" w:rsidR="001920D1" w:rsidRPr="001920D1" w:rsidRDefault="001920D1" w:rsidP="001920D1">
      <w:pPr>
        <w:jc w:val="both"/>
      </w:pPr>
      <w:r w:rsidRPr="001920D1">
        <w:t>The course introduces the main research topics in cultural economics. Cultural economics concerns the study of demand and supply in the art market, the performing arts, and cultural industries, as well as the economics of cultural heritage. These topics require both theoretical and applied approaches. The course adopts both positive and normative perspectives to justify the various forms of public intervention in this sector. Students will gain an understanding of the distinctive features of this branch of economics and will be encouraged to explore possible connections and applications of their own research projects to this field.</w:t>
      </w:r>
    </w:p>
    <w:p w14:paraId="2F4E4355" w14:textId="77777777" w:rsidR="00AA2C2D" w:rsidRDefault="00E85F5E">
      <w:pPr>
        <w:pStyle w:val="Titolo2"/>
      </w:pPr>
      <w:r>
        <w:rPr>
          <w:color w:val="003366"/>
        </w:rPr>
        <w:t>Learning Outcomes:</w:t>
      </w:r>
    </w:p>
    <w:p w14:paraId="6879E001" w14:textId="77777777" w:rsidR="00AA2C2D" w:rsidRDefault="00E85F5E">
      <w:r>
        <w:t>At the end of the course, students will be able to:</w:t>
      </w:r>
    </w:p>
    <w:p w14:paraId="2693752F" w14:textId="2CA0C99E" w:rsidR="00AA2C2D" w:rsidRDefault="00E85F5E">
      <w:r>
        <w:t xml:space="preserve">1. </w:t>
      </w:r>
      <w:r w:rsidR="001920D1">
        <w:t xml:space="preserve">Identify and describe </w:t>
      </w:r>
      <w:r w:rsidR="006A688A">
        <w:t xml:space="preserve">the </w:t>
      </w:r>
      <w:r w:rsidR="001920D1">
        <w:t xml:space="preserve">main </w:t>
      </w:r>
      <w:r w:rsidR="006A688A">
        <w:t>characteristics of cultural demand and supply.</w:t>
      </w:r>
    </w:p>
    <w:p w14:paraId="0203585B" w14:textId="77CCB7D6" w:rsidR="00AA2C2D" w:rsidRDefault="00E85F5E">
      <w:r>
        <w:t xml:space="preserve">2. </w:t>
      </w:r>
      <w:r w:rsidR="001920D1">
        <w:t xml:space="preserve">Understanding </w:t>
      </w:r>
      <w:r w:rsidR="006A688A">
        <w:t xml:space="preserve">the </w:t>
      </w:r>
      <w:r w:rsidR="001920D1">
        <w:t>features</w:t>
      </w:r>
      <w:r w:rsidR="006A688A">
        <w:t xml:space="preserve"> of art markets and the role of museums.</w:t>
      </w:r>
    </w:p>
    <w:p w14:paraId="55614B16" w14:textId="0360CC23" w:rsidR="00AA2C2D" w:rsidRDefault="00E85F5E">
      <w:r>
        <w:t xml:space="preserve">3. </w:t>
      </w:r>
      <w:r w:rsidR="006A688A">
        <w:t>Compar</w:t>
      </w:r>
      <w:r w:rsidR="001920D1">
        <w:t>e</w:t>
      </w:r>
      <w:r w:rsidR="006A688A">
        <w:t xml:space="preserve"> public and private </w:t>
      </w:r>
      <w:r w:rsidR="001920D1">
        <w:t xml:space="preserve">forms of </w:t>
      </w:r>
      <w:r w:rsidR="006A688A">
        <w:t xml:space="preserve">support </w:t>
      </w:r>
      <w:r w:rsidR="001920D1">
        <w:t xml:space="preserve">for the </w:t>
      </w:r>
      <w:r w:rsidR="006A688A">
        <w:t xml:space="preserve">arts. </w:t>
      </w:r>
    </w:p>
    <w:p w14:paraId="108A7565" w14:textId="2508F2A5" w:rsidR="00AA2C2D" w:rsidRDefault="00E85F5E">
      <w:pPr>
        <w:pStyle w:val="Titolo2"/>
      </w:pPr>
      <w:r>
        <w:rPr>
          <w:color w:val="003366"/>
        </w:rPr>
        <w:t>Prerequisites:</w:t>
      </w:r>
    </w:p>
    <w:p w14:paraId="2AC66B79" w14:textId="4E5F0C4F" w:rsidR="00AA2C2D" w:rsidRDefault="006A688A">
      <w:r>
        <w:t xml:space="preserve">Micro and Macro- Economics, Economic Policy and Public Finance, Basic </w:t>
      </w:r>
      <w:r w:rsidR="001920D1">
        <w:t>mathematics.</w:t>
      </w:r>
    </w:p>
    <w:p w14:paraId="1915DB40" w14:textId="77777777" w:rsidR="00AA2C2D" w:rsidRDefault="00E85F5E">
      <w:pPr>
        <w:pStyle w:val="Titolo2"/>
      </w:pPr>
      <w:r>
        <w:rPr>
          <w:color w:val="003366"/>
        </w:rPr>
        <w:t>Course Structure and Schedule (15 hours):</w:t>
      </w:r>
    </w:p>
    <w:tbl>
      <w:tblPr>
        <w:tblStyle w:val="Grigliatabella"/>
        <w:tblW w:w="8926" w:type="dxa"/>
        <w:tblLook w:val="04A0" w:firstRow="1" w:lastRow="0" w:firstColumn="1" w:lastColumn="0" w:noHBand="0" w:noVBand="1"/>
      </w:tblPr>
      <w:tblGrid>
        <w:gridCol w:w="2876"/>
        <w:gridCol w:w="2876"/>
        <w:gridCol w:w="3174"/>
      </w:tblGrid>
      <w:tr w:rsidR="00AA2C2D" w14:paraId="6D7BEF67" w14:textId="77777777" w:rsidTr="001920D1">
        <w:tc>
          <w:tcPr>
            <w:tcW w:w="2876" w:type="dxa"/>
          </w:tcPr>
          <w:p w14:paraId="7688D501" w14:textId="77777777" w:rsidR="00AA2C2D" w:rsidRDefault="00E85F5E">
            <w:r>
              <w:t>Session</w:t>
            </w:r>
          </w:p>
        </w:tc>
        <w:tc>
          <w:tcPr>
            <w:tcW w:w="2876" w:type="dxa"/>
          </w:tcPr>
          <w:p w14:paraId="7A606E63" w14:textId="77777777" w:rsidR="00AA2C2D" w:rsidRDefault="00E85F5E">
            <w:r>
              <w:t>Topic</w:t>
            </w:r>
          </w:p>
        </w:tc>
        <w:tc>
          <w:tcPr>
            <w:tcW w:w="3174" w:type="dxa"/>
          </w:tcPr>
          <w:p w14:paraId="6077C2E0" w14:textId="77777777" w:rsidR="00AA2C2D" w:rsidRDefault="00E85F5E">
            <w:r>
              <w:t>Key Readings</w:t>
            </w:r>
          </w:p>
        </w:tc>
      </w:tr>
      <w:tr w:rsidR="00AA2C2D" w14:paraId="2812CFB7" w14:textId="77777777" w:rsidTr="001920D1">
        <w:tc>
          <w:tcPr>
            <w:tcW w:w="2876" w:type="dxa"/>
          </w:tcPr>
          <w:p w14:paraId="469C2F10" w14:textId="77777777" w:rsidR="00AA2C2D" w:rsidRDefault="00E85F5E">
            <w:r>
              <w:t>1</w:t>
            </w:r>
          </w:p>
        </w:tc>
        <w:tc>
          <w:tcPr>
            <w:tcW w:w="2876" w:type="dxa"/>
          </w:tcPr>
          <w:p w14:paraId="70C66156" w14:textId="0546FB5D" w:rsidR="00AA2C2D" w:rsidRDefault="001920D1">
            <w:r>
              <w:t>A view of cultural economics: the demand and supply of arts</w:t>
            </w:r>
          </w:p>
        </w:tc>
        <w:tc>
          <w:tcPr>
            <w:tcW w:w="3174" w:type="dxa"/>
          </w:tcPr>
          <w:p w14:paraId="63B6DD63" w14:textId="77777777" w:rsidR="001920D1" w:rsidRPr="00A71FF4" w:rsidRDefault="001920D1" w:rsidP="001920D1">
            <w:pPr>
              <w:pStyle w:val="Paragrafoelenco"/>
              <w:numPr>
                <w:ilvl w:val="0"/>
                <w:numId w:val="10"/>
              </w:numPr>
              <w:pBdr>
                <w:top w:val="nil"/>
                <w:left w:val="nil"/>
                <w:bottom w:val="nil"/>
                <w:right w:val="nil"/>
                <w:between w:val="nil"/>
                <w:bar w:val="nil"/>
              </w:pBdr>
              <w:ind w:left="298" w:hanging="284"/>
              <w:contextualSpacing w:val="0"/>
              <w:rPr>
                <w:lang w:val="en-GB"/>
              </w:rPr>
            </w:pPr>
            <w:r w:rsidRPr="00A71FF4">
              <w:rPr>
                <w:lang w:val="en-GB"/>
              </w:rPr>
              <w:t xml:space="preserve">Throsby D., 1994, “The Production and Consumption of the Arts: A View of Cultural Economics” </w:t>
            </w:r>
            <w:r w:rsidRPr="00A71FF4">
              <w:rPr>
                <w:i/>
                <w:iCs/>
                <w:lang w:val="en-GB"/>
              </w:rPr>
              <w:t>Journal of Economic Literature</w:t>
            </w:r>
            <w:r w:rsidRPr="00A71FF4">
              <w:rPr>
                <w:lang w:val="en-GB"/>
              </w:rPr>
              <w:t xml:space="preserve"> , Mar.,  Vol. 32, No. 1, pp. 1-29</w:t>
            </w:r>
            <w:r w:rsidRPr="00A71FF4">
              <w:t xml:space="preserve">; </w:t>
            </w:r>
          </w:p>
          <w:p w14:paraId="059108FF" w14:textId="320DD8CE" w:rsidR="00AA2C2D" w:rsidRDefault="001920D1" w:rsidP="001920D1">
            <w:pPr>
              <w:pStyle w:val="Paragrafoelenco"/>
              <w:numPr>
                <w:ilvl w:val="0"/>
                <w:numId w:val="10"/>
              </w:numPr>
              <w:ind w:left="373" w:hanging="373"/>
            </w:pPr>
            <w:r w:rsidRPr="001920D1">
              <w:rPr>
                <w:lang w:val="en-GB"/>
              </w:rPr>
              <w:t xml:space="preserve">Seaman B. 2006 “Empirical Studies of Demand for the Performing Arts” in </w:t>
            </w:r>
            <w:r w:rsidRPr="001920D1">
              <w:rPr>
                <w:lang w:val="en-GB"/>
              </w:rPr>
              <w:lastRenderedPageBreak/>
              <w:t>Ginsburgh V. A. and D. Throsby, Handbook of the Economics of Art and Culture</w:t>
            </w:r>
            <w:r w:rsidRPr="00A71FF4">
              <w:t>, chap. 14, 415-472</w:t>
            </w:r>
            <w:r>
              <w:t xml:space="preserve"> </w:t>
            </w:r>
          </w:p>
        </w:tc>
      </w:tr>
      <w:tr w:rsidR="00AA2C2D" w14:paraId="20437770" w14:textId="77777777" w:rsidTr="001920D1">
        <w:tc>
          <w:tcPr>
            <w:tcW w:w="2876" w:type="dxa"/>
          </w:tcPr>
          <w:p w14:paraId="74B77858" w14:textId="77777777" w:rsidR="00AA2C2D" w:rsidRDefault="00E85F5E">
            <w:r>
              <w:lastRenderedPageBreak/>
              <w:t>2</w:t>
            </w:r>
          </w:p>
        </w:tc>
        <w:tc>
          <w:tcPr>
            <w:tcW w:w="2876" w:type="dxa"/>
          </w:tcPr>
          <w:p w14:paraId="3D90B225" w14:textId="68F5E754" w:rsidR="00AA2C2D" w:rsidRDefault="001920D1">
            <w:r>
              <w:t>The public intervention in the arts</w:t>
            </w:r>
          </w:p>
        </w:tc>
        <w:tc>
          <w:tcPr>
            <w:tcW w:w="3174" w:type="dxa"/>
          </w:tcPr>
          <w:p w14:paraId="730EF7C0" w14:textId="0B08E56A" w:rsidR="00AA2C2D" w:rsidRDefault="001920D1" w:rsidP="001920D1">
            <w:pPr>
              <w:pStyle w:val="Paragrafoelenco"/>
              <w:numPr>
                <w:ilvl w:val="0"/>
                <w:numId w:val="11"/>
              </w:numPr>
              <w:ind w:left="373" w:hanging="373"/>
            </w:pPr>
            <w:r w:rsidRPr="001920D1">
              <w:rPr>
                <w:rFonts w:cs="Calibri"/>
              </w:rPr>
              <w:t xml:space="preserve">Baumol W.J. and Bowen W.G., 1965, “On the Performing Arts: The Anatomy of their Problems”, </w:t>
            </w:r>
            <w:r w:rsidRPr="001920D1">
              <w:rPr>
                <w:rFonts w:cs="Calibri"/>
                <w:i/>
                <w:iCs/>
              </w:rPr>
              <w:t>American Economic Review,</w:t>
            </w:r>
            <w:r w:rsidRPr="001920D1">
              <w:rPr>
                <w:rFonts w:cs="Calibri"/>
              </w:rPr>
              <w:t xml:space="preserve"> 55, 495-502.</w:t>
            </w:r>
          </w:p>
        </w:tc>
      </w:tr>
      <w:tr w:rsidR="00AA2C2D" w14:paraId="4F07EA0A" w14:textId="77777777" w:rsidTr="001920D1">
        <w:tc>
          <w:tcPr>
            <w:tcW w:w="2876" w:type="dxa"/>
          </w:tcPr>
          <w:p w14:paraId="5749D2BC" w14:textId="5AC46836" w:rsidR="00AA2C2D" w:rsidRDefault="00E85F5E">
            <w:r>
              <w:t>3</w:t>
            </w:r>
            <w:r w:rsidR="001920D1">
              <w:t xml:space="preserve"> </w:t>
            </w:r>
          </w:p>
        </w:tc>
        <w:tc>
          <w:tcPr>
            <w:tcW w:w="2876" w:type="dxa"/>
          </w:tcPr>
          <w:p w14:paraId="46266856" w14:textId="1644B555" w:rsidR="00AA2C2D" w:rsidRDefault="00662D12">
            <w:r>
              <w:t>Public and private supports for the arts</w:t>
            </w:r>
          </w:p>
        </w:tc>
        <w:tc>
          <w:tcPr>
            <w:tcW w:w="3174" w:type="dxa"/>
          </w:tcPr>
          <w:p w14:paraId="4A7D969D" w14:textId="4EE63BD8" w:rsidR="00AA2C2D" w:rsidRDefault="00662D12" w:rsidP="00662D12">
            <w:pPr>
              <w:pStyle w:val="Paragrafoelenco"/>
              <w:numPr>
                <w:ilvl w:val="0"/>
                <w:numId w:val="12"/>
              </w:numPr>
              <w:ind w:left="373" w:hanging="425"/>
            </w:pPr>
            <w:r w:rsidRPr="00662D12">
              <w:rPr>
                <w:bCs/>
                <w:lang w:val="en-GB"/>
              </w:rPr>
              <w:t xml:space="preserve">Schuster Mark J. “Tax Incentives in Cultural Policy” </w:t>
            </w:r>
            <w:r w:rsidRPr="00662D12">
              <w:rPr>
                <w:lang w:val="en-GB"/>
              </w:rPr>
              <w:t>in Ginsburgh V. A. and D. Throsby, Handbook of the Economics of Art and Culture</w:t>
            </w:r>
            <w:r w:rsidRPr="00A71FF4">
              <w:t xml:space="preserve">, chap. </w:t>
            </w:r>
            <w:r>
              <w:t>36</w:t>
            </w:r>
            <w:r w:rsidRPr="00A71FF4">
              <w:t xml:space="preserve">, </w:t>
            </w:r>
            <w:r>
              <w:t>1253</w:t>
            </w:r>
            <w:r w:rsidRPr="00A71FF4">
              <w:t>-</w:t>
            </w:r>
            <w:r>
              <w:t>1298.</w:t>
            </w:r>
          </w:p>
        </w:tc>
      </w:tr>
      <w:tr w:rsidR="00AA2C2D" w14:paraId="78107D4B" w14:textId="77777777" w:rsidTr="001920D1">
        <w:tc>
          <w:tcPr>
            <w:tcW w:w="2876" w:type="dxa"/>
          </w:tcPr>
          <w:p w14:paraId="7DAA55C6" w14:textId="77777777" w:rsidR="00AA2C2D" w:rsidRDefault="00E85F5E">
            <w:r>
              <w:t>4</w:t>
            </w:r>
          </w:p>
        </w:tc>
        <w:tc>
          <w:tcPr>
            <w:tcW w:w="2876" w:type="dxa"/>
          </w:tcPr>
          <w:p w14:paraId="0AA98C76" w14:textId="6F812724" w:rsidR="00AA2C2D" w:rsidRDefault="00662D12">
            <w:r>
              <w:t>Arts market</w:t>
            </w:r>
          </w:p>
        </w:tc>
        <w:tc>
          <w:tcPr>
            <w:tcW w:w="3174" w:type="dxa"/>
          </w:tcPr>
          <w:p w14:paraId="257E4457" w14:textId="1744DF7C" w:rsidR="00AA2C2D" w:rsidRDefault="00662D12" w:rsidP="00662D12">
            <w:pPr>
              <w:pStyle w:val="Paragrafoelenco"/>
              <w:numPr>
                <w:ilvl w:val="0"/>
                <w:numId w:val="13"/>
              </w:numPr>
              <w:ind w:left="373" w:hanging="425"/>
            </w:pPr>
            <w:r w:rsidRPr="00662D12">
              <w:rPr>
                <w:lang w:val="en-GB"/>
              </w:rPr>
              <w:t>Ginsburgh V. A., 2005, “Arts Markets”, in Towse R. A Handbook of Cultural Economics, Edward Elgar, pp. 40-56.</w:t>
            </w:r>
          </w:p>
        </w:tc>
      </w:tr>
      <w:tr w:rsidR="00AA2C2D" w14:paraId="0F0F9EE2" w14:textId="77777777" w:rsidTr="001920D1">
        <w:tc>
          <w:tcPr>
            <w:tcW w:w="2876" w:type="dxa"/>
          </w:tcPr>
          <w:p w14:paraId="2BA38F39" w14:textId="77777777" w:rsidR="00AA2C2D" w:rsidRDefault="00E85F5E">
            <w:r>
              <w:t>5</w:t>
            </w:r>
          </w:p>
        </w:tc>
        <w:tc>
          <w:tcPr>
            <w:tcW w:w="2876" w:type="dxa"/>
          </w:tcPr>
          <w:p w14:paraId="3CBA439E" w14:textId="1616EFA7" w:rsidR="00AA2C2D" w:rsidRDefault="00662D12">
            <w:r>
              <w:t>The economics of cultural heritage and museums</w:t>
            </w:r>
          </w:p>
        </w:tc>
        <w:tc>
          <w:tcPr>
            <w:tcW w:w="3174" w:type="dxa"/>
          </w:tcPr>
          <w:p w14:paraId="23D1447A" w14:textId="77777777" w:rsidR="00662D12" w:rsidRDefault="00662D12" w:rsidP="00662D12">
            <w:pPr>
              <w:pStyle w:val="Paragrafoelenco"/>
              <w:numPr>
                <w:ilvl w:val="0"/>
                <w:numId w:val="14"/>
              </w:numPr>
              <w:pBdr>
                <w:top w:val="nil"/>
                <w:left w:val="nil"/>
                <w:bottom w:val="nil"/>
                <w:right w:val="nil"/>
                <w:between w:val="nil"/>
                <w:bar w:val="nil"/>
              </w:pBdr>
              <w:ind w:left="298" w:hanging="298"/>
              <w:contextualSpacing w:val="0"/>
              <w:rPr>
                <w:lang w:val="en-GB"/>
              </w:rPr>
            </w:pPr>
            <w:r w:rsidRPr="00D21B36">
              <w:rPr>
                <w:lang w:val="en-GB"/>
              </w:rPr>
              <w:t xml:space="preserve">Throsby D., 2001, </w:t>
            </w:r>
            <w:r w:rsidRPr="00D21B36">
              <w:rPr>
                <w:i/>
                <w:iCs/>
                <w:lang w:val="en-GB"/>
              </w:rPr>
              <w:t>Economics and Culture</w:t>
            </w:r>
            <w:r w:rsidRPr="00D21B36">
              <w:rPr>
                <w:lang w:val="en-GB"/>
              </w:rPr>
              <w:t>, Cambridge University Press</w:t>
            </w:r>
            <w:r>
              <w:rPr>
                <w:lang w:val="en-GB"/>
              </w:rPr>
              <w:t>, chap. 5, 74-91</w:t>
            </w:r>
            <w:r w:rsidRPr="00D21B36">
              <w:rPr>
                <w:lang w:val="en-GB"/>
              </w:rPr>
              <w:t>.</w:t>
            </w:r>
          </w:p>
          <w:p w14:paraId="50C0C9EE" w14:textId="743861BA" w:rsidR="00AA2C2D" w:rsidRDefault="00662D12" w:rsidP="00662D12">
            <w:pPr>
              <w:pStyle w:val="Paragrafoelenco"/>
              <w:numPr>
                <w:ilvl w:val="0"/>
                <w:numId w:val="14"/>
              </w:numPr>
              <w:ind w:left="232" w:hanging="232"/>
            </w:pPr>
            <w:r>
              <w:rPr>
                <w:lang w:val="en-GB"/>
              </w:rPr>
              <w:t xml:space="preserve"> </w:t>
            </w:r>
            <w:r w:rsidRPr="00662D12">
              <w:rPr>
                <w:lang w:val="en-GB"/>
              </w:rPr>
              <w:t>Frey B. S and S. Meier, “The Economics of Museums”, in Ginsburgh V. A. and D. Throsby, Handbook of the Economics of Art and Culture</w:t>
            </w:r>
            <w:r w:rsidRPr="00A71FF4">
              <w:t xml:space="preserve">, chap. </w:t>
            </w:r>
            <w:r>
              <w:t>29</w:t>
            </w:r>
            <w:r w:rsidRPr="00A71FF4">
              <w:t xml:space="preserve">, </w:t>
            </w:r>
            <w:r>
              <w:t>1017-1047.</w:t>
            </w:r>
          </w:p>
        </w:tc>
      </w:tr>
    </w:tbl>
    <w:p w14:paraId="654EFB66" w14:textId="77777777" w:rsidR="00AA2C2D" w:rsidRDefault="00E85F5E">
      <w:pPr>
        <w:pStyle w:val="Titolo2"/>
      </w:pPr>
      <w:r>
        <w:rPr>
          <w:color w:val="003366"/>
        </w:rPr>
        <w:t>Teaching Methods:</w:t>
      </w:r>
    </w:p>
    <w:p w14:paraId="220F53D8" w14:textId="578A0985" w:rsidR="00AA2C2D" w:rsidRDefault="00E85F5E">
      <w:r>
        <w:t>Lectures, seminar discussions.</w:t>
      </w:r>
    </w:p>
    <w:p w14:paraId="41104C80" w14:textId="77777777" w:rsidR="00AA2C2D" w:rsidRDefault="00E85F5E">
      <w:pPr>
        <w:pStyle w:val="Titolo2"/>
      </w:pPr>
      <w:r>
        <w:rPr>
          <w:color w:val="003366"/>
        </w:rPr>
        <w:t>Assessment:</w:t>
      </w:r>
    </w:p>
    <w:p w14:paraId="2953ABD5" w14:textId="62830175" w:rsidR="00AA2C2D" w:rsidRDefault="00662D12">
      <w:r>
        <w:t>P</w:t>
      </w:r>
      <w:r w:rsidR="00E85F5E">
        <w:t>resentation</w:t>
      </w:r>
      <w:r>
        <w:t xml:space="preserve"> of a </w:t>
      </w:r>
      <w:r w:rsidR="00E85F5E">
        <w:t>short</w:t>
      </w:r>
      <w:r w:rsidR="00802174">
        <w:t>-</w:t>
      </w:r>
      <w:r>
        <w:t>written essay.</w:t>
      </w:r>
    </w:p>
    <w:p w14:paraId="09F3E259" w14:textId="77777777" w:rsidR="00AA2C2D" w:rsidRDefault="00E85F5E">
      <w:pPr>
        <w:pStyle w:val="Titolo2"/>
        <w:rPr>
          <w:color w:val="003366"/>
        </w:rPr>
      </w:pPr>
      <w:r>
        <w:rPr>
          <w:color w:val="003366"/>
        </w:rPr>
        <w:t>Bibliography:</w:t>
      </w:r>
    </w:p>
    <w:p w14:paraId="379E0A14" w14:textId="44F57BB4" w:rsidR="00662D12" w:rsidRDefault="00662D12" w:rsidP="00662D12">
      <w:pPr>
        <w:rPr>
          <w:rFonts w:cs="Calibri"/>
        </w:rPr>
      </w:pPr>
      <w:r w:rsidRPr="00540524">
        <w:rPr>
          <w:rFonts w:cs="Calibri"/>
        </w:rPr>
        <w:t xml:space="preserve">Baumol W.J. </w:t>
      </w:r>
      <w:r>
        <w:rPr>
          <w:rFonts w:cs="Calibri"/>
        </w:rPr>
        <w:t xml:space="preserve">and Bowen W.G., </w:t>
      </w:r>
      <w:r w:rsidRPr="00540524">
        <w:rPr>
          <w:rFonts w:cs="Calibri"/>
        </w:rPr>
        <w:t>196</w:t>
      </w:r>
      <w:r>
        <w:rPr>
          <w:rFonts w:cs="Calibri"/>
        </w:rPr>
        <w:t>5</w:t>
      </w:r>
      <w:r w:rsidRPr="00540524">
        <w:rPr>
          <w:rFonts w:cs="Calibri"/>
        </w:rPr>
        <w:t>, “</w:t>
      </w:r>
      <w:r>
        <w:rPr>
          <w:rFonts w:cs="Calibri"/>
        </w:rPr>
        <w:t>On the Performing Arts</w:t>
      </w:r>
      <w:r w:rsidRPr="00540524">
        <w:rPr>
          <w:rFonts w:cs="Calibri"/>
        </w:rPr>
        <w:t xml:space="preserve">: The Anatomy of </w:t>
      </w:r>
      <w:r>
        <w:rPr>
          <w:rFonts w:cs="Calibri"/>
        </w:rPr>
        <w:t>their Problems</w:t>
      </w:r>
      <w:r w:rsidRPr="00540524">
        <w:rPr>
          <w:rFonts w:cs="Calibri"/>
        </w:rPr>
        <w:t xml:space="preserve">”, </w:t>
      </w:r>
      <w:r w:rsidRPr="00540524">
        <w:rPr>
          <w:rFonts w:cs="Calibri"/>
          <w:i/>
          <w:iCs/>
        </w:rPr>
        <w:t>American Economic Review,</w:t>
      </w:r>
      <w:r w:rsidRPr="00540524">
        <w:rPr>
          <w:rFonts w:cs="Calibri"/>
        </w:rPr>
        <w:t xml:space="preserve"> 5</w:t>
      </w:r>
      <w:r>
        <w:rPr>
          <w:rFonts w:cs="Calibri"/>
        </w:rPr>
        <w:t>5</w:t>
      </w:r>
      <w:r w:rsidRPr="00540524">
        <w:rPr>
          <w:rFonts w:cs="Calibri"/>
        </w:rPr>
        <w:t>, 4</w:t>
      </w:r>
      <w:r>
        <w:rPr>
          <w:rFonts w:cs="Calibri"/>
        </w:rPr>
        <w:t>9</w:t>
      </w:r>
      <w:r w:rsidRPr="00540524">
        <w:rPr>
          <w:rFonts w:cs="Calibri"/>
        </w:rPr>
        <w:t>5-</w:t>
      </w:r>
      <w:r>
        <w:rPr>
          <w:rFonts w:cs="Calibri"/>
        </w:rPr>
        <w:t>502</w:t>
      </w:r>
      <w:r w:rsidRPr="00540524">
        <w:rPr>
          <w:rFonts w:cs="Calibri"/>
        </w:rPr>
        <w:t>.</w:t>
      </w:r>
    </w:p>
    <w:p w14:paraId="09F3FE21" w14:textId="7906C82F" w:rsidR="00662D12" w:rsidRDefault="00662D12" w:rsidP="00662D12">
      <w:r>
        <w:rPr>
          <w:lang w:val="en-GB"/>
        </w:rPr>
        <w:t xml:space="preserve">Frey B. S and S. Meier, “The Economics of Museums”, in </w:t>
      </w:r>
      <w:r w:rsidRPr="00A71FF4">
        <w:rPr>
          <w:lang w:val="en-GB"/>
        </w:rPr>
        <w:t>Ginsburgh V. A. and D. Throsby, Handbook of the Economics of Art and Culture</w:t>
      </w:r>
      <w:r w:rsidRPr="00A71FF4">
        <w:t xml:space="preserve">, chap. </w:t>
      </w:r>
      <w:r>
        <w:t>29</w:t>
      </w:r>
      <w:r w:rsidRPr="00A71FF4">
        <w:t xml:space="preserve">, </w:t>
      </w:r>
      <w:r>
        <w:t>1017-1047.</w:t>
      </w:r>
    </w:p>
    <w:p w14:paraId="2A4484D1" w14:textId="51D8B540" w:rsidR="00662D12" w:rsidRDefault="00662D12" w:rsidP="00662D12">
      <w:pPr>
        <w:rPr>
          <w:lang w:val="en-GB"/>
        </w:rPr>
      </w:pPr>
      <w:r>
        <w:rPr>
          <w:lang w:val="en-GB"/>
        </w:rPr>
        <w:lastRenderedPageBreak/>
        <w:t>Ginsburgh V. A., 2005, “Arts Markets”, in Towse R. A Handbook of Cultural Economics, Edward Elgar, pp. 40-56.</w:t>
      </w:r>
    </w:p>
    <w:p w14:paraId="4A6871C7" w14:textId="4B184870" w:rsidR="00662D12" w:rsidRDefault="00662D12" w:rsidP="00662D12">
      <w:r w:rsidRPr="00D376D9">
        <w:rPr>
          <w:bCs/>
          <w:lang w:val="en-GB"/>
        </w:rPr>
        <w:t>Schuster Mark J. “Tax I</w:t>
      </w:r>
      <w:r>
        <w:rPr>
          <w:bCs/>
          <w:lang w:val="en-GB"/>
        </w:rPr>
        <w:t xml:space="preserve">ncentives in Cultural Policy” </w:t>
      </w:r>
      <w:r w:rsidRPr="00A71FF4">
        <w:rPr>
          <w:lang w:val="en-GB"/>
        </w:rPr>
        <w:t>in Ginsburgh V. A. and D. Throsby, Handbook of the Economics of Art and Culture</w:t>
      </w:r>
      <w:r w:rsidRPr="00A71FF4">
        <w:t xml:space="preserve">, chap. </w:t>
      </w:r>
      <w:r>
        <w:t>36</w:t>
      </w:r>
      <w:r w:rsidRPr="00A71FF4">
        <w:t xml:space="preserve">, </w:t>
      </w:r>
      <w:r>
        <w:t>1253</w:t>
      </w:r>
      <w:r w:rsidRPr="00A71FF4">
        <w:t>-</w:t>
      </w:r>
      <w:r>
        <w:t>1298.</w:t>
      </w:r>
    </w:p>
    <w:p w14:paraId="1B65AEA2" w14:textId="1D6E5CC9" w:rsidR="00662D12" w:rsidRDefault="00662D12" w:rsidP="00662D12">
      <w:r w:rsidRPr="00A71FF4">
        <w:rPr>
          <w:lang w:val="en-GB"/>
        </w:rPr>
        <w:t>Seaman B. 2006 “Empirical Studies of Demand for the Performing Arts” in Ginsburgh V. A. and D. Throsby, Handbook of the Economics of Art and Culture</w:t>
      </w:r>
      <w:r w:rsidRPr="00A71FF4">
        <w:t>, chap. 14, 415-472</w:t>
      </w:r>
      <w:r>
        <w:t>.</w:t>
      </w:r>
    </w:p>
    <w:p w14:paraId="0EC29BEF" w14:textId="05D62A6E" w:rsidR="00662D12" w:rsidRDefault="00662D12" w:rsidP="00662D12">
      <w:pPr>
        <w:rPr>
          <w:lang w:val="en-GB"/>
        </w:rPr>
      </w:pPr>
      <w:r w:rsidRPr="00A71FF4">
        <w:rPr>
          <w:lang w:val="en-GB"/>
        </w:rPr>
        <w:t xml:space="preserve">Throsby D., 1994, “The Production and Consumption of the Arts: A View of Cultural Economics” </w:t>
      </w:r>
      <w:r w:rsidRPr="00A71FF4">
        <w:rPr>
          <w:i/>
          <w:iCs/>
          <w:lang w:val="en-GB"/>
        </w:rPr>
        <w:t>Journal of Economic Literature</w:t>
      </w:r>
      <w:r w:rsidRPr="00A71FF4">
        <w:rPr>
          <w:lang w:val="en-GB"/>
        </w:rPr>
        <w:t xml:space="preserve"> , Mar.,  Vol. 32, No. 1, pp. 1-29</w:t>
      </w:r>
      <w:r>
        <w:rPr>
          <w:lang w:val="en-GB"/>
        </w:rPr>
        <w:t>.</w:t>
      </w:r>
    </w:p>
    <w:p w14:paraId="71AD5E17" w14:textId="77777777" w:rsidR="00662D12" w:rsidRPr="00662D12" w:rsidRDefault="00662D12" w:rsidP="00662D12">
      <w:pPr>
        <w:pBdr>
          <w:top w:val="nil"/>
          <w:left w:val="nil"/>
          <w:bottom w:val="nil"/>
          <w:right w:val="nil"/>
          <w:between w:val="nil"/>
          <w:bar w:val="nil"/>
        </w:pBdr>
        <w:spacing w:after="0" w:line="240" w:lineRule="auto"/>
        <w:ind w:left="360" w:hanging="360"/>
        <w:rPr>
          <w:lang w:val="en-GB"/>
        </w:rPr>
      </w:pPr>
      <w:r w:rsidRPr="00662D12">
        <w:rPr>
          <w:lang w:val="en-GB"/>
        </w:rPr>
        <w:t xml:space="preserve">Throsby D., 2001, </w:t>
      </w:r>
      <w:r w:rsidRPr="00662D12">
        <w:rPr>
          <w:i/>
          <w:iCs/>
          <w:lang w:val="en-GB"/>
        </w:rPr>
        <w:t>Economics and Culture</w:t>
      </w:r>
      <w:r w:rsidRPr="00662D12">
        <w:rPr>
          <w:lang w:val="en-GB"/>
        </w:rPr>
        <w:t>, Cambridge University Press, chap. 5, 74-91.</w:t>
      </w:r>
    </w:p>
    <w:p w14:paraId="523C62F6" w14:textId="77777777" w:rsidR="00662D12" w:rsidRPr="00662D12" w:rsidRDefault="00662D12" w:rsidP="00662D12">
      <w:pPr>
        <w:rPr>
          <w:lang w:val="en-GB"/>
        </w:rPr>
      </w:pPr>
    </w:p>
    <w:p w14:paraId="4EB7BD93" w14:textId="77777777" w:rsidR="00AA2C2D" w:rsidRDefault="00E85F5E">
      <w:pPr>
        <w:pStyle w:val="Titolo2"/>
      </w:pPr>
      <w:r>
        <w:rPr>
          <w:color w:val="003366"/>
        </w:rPr>
        <w:t>Preferred Bimester:</w:t>
      </w:r>
    </w:p>
    <w:p w14:paraId="79F09B9F" w14:textId="41C356D9" w:rsidR="00AA2C2D" w:rsidRDefault="00E85F5E">
      <w:r w:rsidRPr="000B2EAB">
        <w:t>May–June</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9B05CD8"/>
    <w:multiLevelType w:val="hybridMultilevel"/>
    <w:tmpl w:val="9B1AC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AB7CEA"/>
    <w:multiLevelType w:val="hybridMultilevel"/>
    <w:tmpl w:val="6EF05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3C3672"/>
    <w:multiLevelType w:val="hybridMultilevel"/>
    <w:tmpl w:val="E612F584"/>
    <w:lvl w:ilvl="0" w:tplc="7166D90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sz w:val="20"/>
        <w:szCs w:val="20"/>
        <w:highlight w:val="none"/>
        <w:vertAlign w:val="baseline"/>
      </w:rPr>
    </w:lvl>
    <w:lvl w:ilvl="1" w:tplc="E806D6EA">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2" w:tplc="55A072DA">
      <w:start w:val="1"/>
      <w:numFmt w:val="lowerRoman"/>
      <w:lvlText w:val="%3."/>
      <w:lvlJc w:val="left"/>
      <w:pPr>
        <w:ind w:left="2160" w:hanging="292"/>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3" w:tplc="8960B86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4" w:tplc="12B8774A">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5" w:tplc="AC664510">
      <w:start w:val="1"/>
      <w:numFmt w:val="lowerRoman"/>
      <w:lvlText w:val="%6."/>
      <w:lvlJc w:val="left"/>
      <w:pPr>
        <w:ind w:left="4320" w:hanging="292"/>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6" w:tplc="09D2352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7" w:tplc="4D229B7A">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8" w:tplc="13088708">
      <w:start w:val="1"/>
      <w:numFmt w:val="lowerRoman"/>
      <w:lvlText w:val="%9."/>
      <w:lvlJc w:val="left"/>
      <w:pPr>
        <w:ind w:left="6480" w:hanging="292"/>
      </w:pPr>
      <w:rPr>
        <w:rFonts w:ascii="Arial" w:eastAsia="Arial" w:hAnsi="Arial" w:cs="Arial"/>
        <w:b w:val="0"/>
        <w:bCs w:val="0"/>
        <w:i w:val="0"/>
        <w:iCs w:val="0"/>
        <w:caps w:val="0"/>
        <w:smallCaps w:val="0"/>
        <w:strike w:val="0"/>
        <w:dstrike w:val="0"/>
        <w:outline w:val="0"/>
        <w:emboss w:val="0"/>
        <w:imprint w:val="0"/>
        <w:color w:val="222222"/>
        <w:spacing w:val="0"/>
        <w:w w:val="100"/>
        <w:kern w:val="0"/>
        <w:position w:val="0"/>
        <w:highlight w:val="none"/>
        <w:vertAlign w:val="baseline"/>
      </w:rPr>
    </w:lvl>
  </w:abstractNum>
  <w:abstractNum w:abstractNumId="12" w15:restartNumberingAfterBreak="0">
    <w:nsid w:val="6CD02668"/>
    <w:multiLevelType w:val="hybridMultilevel"/>
    <w:tmpl w:val="A406124A"/>
    <w:lvl w:ilvl="0" w:tplc="C79AFCA4">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70750B"/>
    <w:multiLevelType w:val="hybridMultilevel"/>
    <w:tmpl w:val="4CC80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6899848">
    <w:abstractNumId w:val="8"/>
  </w:num>
  <w:num w:numId="2" w16cid:durableId="268970343">
    <w:abstractNumId w:val="6"/>
  </w:num>
  <w:num w:numId="3" w16cid:durableId="108864317">
    <w:abstractNumId w:val="5"/>
  </w:num>
  <w:num w:numId="4" w16cid:durableId="1553888299">
    <w:abstractNumId w:val="4"/>
  </w:num>
  <w:num w:numId="5" w16cid:durableId="900019045">
    <w:abstractNumId w:val="7"/>
  </w:num>
  <w:num w:numId="6" w16cid:durableId="719599339">
    <w:abstractNumId w:val="3"/>
  </w:num>
  <w:num w:numId="7" w16cid:durableId="1025055278">
    <w:abstractNumId w:val="2"/>
  </w:num>
  <w:num w:numId="8" w16cid:durableId="1373849459">
    <w:abstractNumId w:val="1"/>
  </w:num>
  <w:num w:numId="9" w16cid:durableId="1564870462">
    <w:abstractNumId w:val="0"/>
  </w:num>
  <w:num w:numId="10" w16cid:durableId="1389114627">
    <w:abstractNumId w:val="11"/>
  </w:num>
  <w:num w:numId="11" w16cid:durableId="74979027">
    <w:abstractNumId w:val="12"/>
  </w:num>
  <w:num w:numId="12" w16cid:durableId="1264876740">
    <w:abstractNumId w:val="9"/>
  </w:num>
  <w:num w:numId="13" w16cid:durableId="1643802515">
    <w:abstractNumId w:val="10"/>
  </w:num>
  <w:num w:numId="14" w16cid:durableId="305663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EAB"/>
    <w:rsid w:val="0015074B"/>
    <w:rsid w:val="00157D8E"/>
    <w:rsid w:val="001920D1"/>
    <w:rsid w:val="0029639D"/>
    <w:rsid w:val="00326F90"/>
    <w:rsid w:val="005455D3"/>
    <w:rsid w:val="00595326"/>
    <w:rsid w:val="00662D12"/>
    <w:rsid w:val="006A688A"/>
    <w:rsid w:val="008016F3"/>
    <w:rsid w:val="00802174"/>
    <w:rsid w:val="008C7E0A"/>
    <w:rsid w:val="00AA1D8D"/>
    <w:rsid w:val="00AA2C2D"/>
    <w:rsid w:val="00B47730"/>
    <w:rsid w:val="00CB0664"/>
    <w:rsid w:val="00D27820"/>
    <w:rsid w:val="00E401D5"/>
    <w:rsid w:val="00E85F5E"/>
    <w:rsid w:val="00FC693F"/>
    <w:rsid w:val="00FD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41EDB"/>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455D3"/>
    <w:rPr>
      <w:color w:val="0000FF" w:themeColor="hyperlink"/>
      <w:u w:val="single"/>
    </w:rPr>
  </w:style>
  <w:style w:type="character" w:styleId="Menzionenonrisolta">
    <w:name w:val="Unresolved Mention"/>
    <w:basedOn w:val="Carpredefinitoparagrafo"/>
    <w:uiPriority w:val="99"/>
    <w:semiHidden/>
    <w:unhideWhenUsed/>
    <w:rsid w:val="0054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doro.mazza@gmail.com" TargetMode="External"/><Relationship Id="rId3" Type="http://schemas.openxmlformats.org/officeDocument/2006/relationships/styles" Target="styles.xml"/><Relationship Id="rId7" Type="http://schemas.openxmlformats.org/officeDocument/2006/relationships/hyperlink" Target="mailto:imazza@unic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ziana.cuccia@unict.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4623-8302-475F-8D95-EA34106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567</Words>
  <Characters>3234</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Tiziana Maria Stella Cuccia</cp:lastModifiedBy>
  <cp:revision>6</cp:revision>
  <dcterms:created xsi:type="dcterms:W3CDTF">2025-10-13T07:44:00Z</dcterms:created>
  <dcterms:modified xsi:type="dcterms:W3CDTF">2025-10-15T05:58:00Z</dcterms:modified>
  <cp:category/>
</cp:coreProperties>
</file>